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009A19" w14:textId="206A3F40" w:rsidR="003E306F" w:rsidRPr="00A6546A" w:rsidRDefault="003E306F" w:rsidP="003E306F">
      <w:pPr>
        <w:ind w:left="1800" w:hanging="1800"/>
        <w:rPr>
          <w:b/>
          <w:sz w:val="24"/>
          <w:szCs w:val="24"/>
        </w:rPr>
      </w:pPr>
      <w:r w:rsidRPr="00A6546A">
        <w:rPr>
          <w:b/>
          <w:sz w:val="24"/>
          <w:szCs w:val="24"/>
        </w:rPr>
        <w:t>3GPP TSG RAN WG</w:t>
      </w:r>
      <w:r w:rsidR="00CA005F">
        <w:rPr>
          <w:b/>
          <w:sz w:val="24"/>
          <w:szCs w:val="24"/>
        </w:rPr>
        <w:t>3</w:t>
      </w:r>
      <w:r w:rsidRPr="00A6546A">
        <w:rPr>
          <w:b/>
          <w:sz w:val="24"/>
          <w:szCs w:val="24"/>
        </w:rPr>
        <w:t xml:space="preserve"> #</w:t>
      </w:r>
      <w:r w:rsidR="00CA005F">
        <w:rPr>
          <w:b/>
          <w:sz w:val="24"/>
          <w:szCs w:val="24"/>
        </w:rPr>
        <w:t>106</w:t>
      </w:r>
      <w:r w:rsidRPr="00A6546A">
        <w:rPr>
          <w:b/>
          <w:sz w:val="24"/>
          <w:szCs w:val="24"/>
        </w:rPr>
        <w:tab/>
      </w:r>
      <w:r>
        <w:rPr>
          <w:b/>
          <w:sz w:val="24"/>
          <w:szCs w:val="24"/>
        </w:rPr>
        <w:t xml:space="preserve">                                                                  </w:t>
      </w:r>
      <w:r w:rsidR="0021170E">
        <w:rPr>
          <w:b/>
          <w:sz w:val="24"/>
          <w:szCs w:val="24"/>
        </w:rPr>
        <w:t xml:space="preserve">           </w:t>
      </w:r>
      <w:r w:rsidR="007351F1" w:rsidRPr="007351F1">
        <w:rPr>
          <w:b/>
          <w:sz w:val="24"/>
          <w:szCs w:val="24"/>
        </w:rPr>
        <w:t>R3-197451</w:t>
      </w:r>
    </w:p>
    <w:p w14:paraId="29249590" w14:textId="77777777" w:rsidR="003E306F" w:rsidRDefault="0021170E" w:rsidP="003E306F">
      <w:pPr>
        <w:ind w:left="1800" w:hanging="1800"/>
        <w:rPr>
          <w:b/>
          <w:sz w:val="24"/>
          <w:szCs w:val="24"/>
        </w:rPr>
      </w:pPr>
      <w:r>
        <w:rPr>
          <w:b/>
          <w:sz w:val="24"/>
          <w:szCs w:val="24"/>
        </w:rPr>
        <w:t>Reno</w:t>
      </w:r>
      <w:r w:rsidR="003E306F" w:rsidRPr="00A6546A">
        <w:rPr>
          <w:b/>
          <w:sz w:val="24"/>
          <w:szCs w:val="24"/>
        </w:rPr>
        <w:t xml:space="preserve">, </w:t>
      </w:r>
      <w:r>
        <w:rPr>
          <w:b/>
          <w:sz w:val="24"/>
          <w:szCs w:val="24"/>
        </w:rPr>
        <w:t>NV</w:t>
      </w:r>
      <w:r w:rsidR="003E306F" w:rsidRPr="00A6546A">
        <w:rPr>
          <w:b/>
          <w:sz w:val="24"/>
          <w:szCs w:val="24"/>
        </w:rPr>
        <w:t xml:space="preserve">, </w:t>
      </w:r>
      <w:r>
        <w:rPr>
          <w:b/>
          <w:sz w:val="24"/>
          <w:szCs w:val="24"/>
        </w:rPr>
        <w:t>November</w:t>
      </w:r>
      <w:r w:rsidR="003E306F" w:rsidRPr="00A6546A">
        <w:rPr>
          <w:b/>
          <w:sz w:val="24"/>
          <w:szCs w:val="24"/>
        </w:rPr>
        <w:t xml:space="preserve"> </w:t>
      </w:r>
      <w:r>
        <w:rPr>
          <w:b/>
          <w:sz w:val="24"/>
          <w:szCs w:val="24"/>
        </w:rPr>
        <w:t>18</w:t>
      </w:r>
      <w:r w:rsidR="003E306F" w:rsidRPr="00A6546A">
        <w:rPr>
          <w:b/>
          <w:sz w:val="24"/>
          <w:szCs w:val="24"/>
        </w:rPr>
        <w:t xml:space="preserve">th – </w:t>
      </w:r>
      <w:r>
        <w:rPr>
          <w:b/>
          <w:sz w:val="24"/>
          <w:szCs w:val="24"/>
        </w:rPr>
        <w:t>22nd</w:t>
      </w:r>
      <w:r w:rsidR="003E306F" w:rsidRPr="00A6546A">
        <w:rPr>
          <w:b/>
          <w:sz w:val="24"/>
          <w:szCs w:val="24"/>
        </w:rPr>
        <w:t>, 2019</w:t>
      </w:r>
    </w:p>
    <w:p w14:paraId="7B8A7F0A" w14:textId="3E5AEF79" w:rsidR="0060603E" w:rsidRPr="00212204" w:rsidRDefault="0060603E" w:rsidP="002D479B">
      <w:pPr>
        <w:ind w:left="1800" w:hanging="1800"/>
        <w:rPr>
          <w:b/>
          <w:sz w:val="24"/>
          <w:szCs w:val="24"/>
        </w:rPr>
      </w:pPr>
      <w:r w:rsidRPr="00212204">
        <w:rPr>
          <w:b/>
          <w:sz w:val="24"/>
          <w:szCs w:val="24"/>
        </w:rPr>
        <w:t>Agenda Item:</w:t>
      </w:r>
      <w:r w:rsidRPr="00212204">
        <w:rPr>
          <w:sz w:val="24"/>
          <w:szCs w:val="24"/>
        </w:rPr>
        <w:tab/>
      </w:r>
      <w:bookmarkStart w:id="0" w:name="Source"/>
      <w:bookmarkEnd w:id="0"/>
      <w:r w:rsidR="00CA005F">
        <w:rPr>
          <w:b/>
          <w:sz w:val="24"/>
          <w:szCs w:val="24"/>
        </w:rPr>
        <w:t>13</w:t>
      </w:r>
      <w:r w:rsidR="00885004">
        <w:rPr>
          <w:b/>
          <w:sz w:val="24"/>
          <w:szCs w:val="24"/>
        </w:rPr>
        <w:t>.</w:t>
      </w:r>
      <w:r w:rsidR="001F02DD">
        <w:rPr>
          <w:b/>
          <w:sz w:val="24"/>
          <w:szCs w:val="24"/>
        </w:rPr>
        <w:t>2.</w:t>
      </w:r>
      <w:r w:rsidR="00CA005F">
        <w:rPr>
          <w:b/>
          <w:sz w:val="24"/>
          <w:szCs w:val="24"/>
        </w:rPr>
        <w:t>1</w:t>
      </w:r>
      <w:r w:rsidR="008F0D8C">
        <w:rPr>
          <w:b/>
          <w:sz w:val="24"/>
          <w:szCs w:val="24"/>
        </w:rPr>
        <w:t>.</w:t>
      </w:r>
      <w:r w:rsidR="0021170E">
        <w:rPr>
          <w:b/>
          <w:sz w:val="24"/>
          <w:szCs w:val="24"/>
        </w:rPr>
        <w:t>1</w:t>
      </w:r>
    </w:p>
    <w:p w14:paraId="0B3898A6" w14:textId="77777777" w:rsidR="00CE0C9D" w:rsidRPr="00212204" w:rsidRDefault="0060603E" w:rsidP="002D479B">
      <w:pPr>
        <w:ind w:left="1800" w:hanging="1800"/>
        <w:rPr>
          <w:sz w:val="24"/>
          <w:szCs w:val="24"/>
        </w:rPr>
      </w:pPr>
      <w:r w:rsidRPr="00212204">
        <w:rPr>
          <w:b/>
          <w:sz w:val="24"/>
          <w:szCs w:val="24"/>
        </w:rPr>
        <w:t>Source:</w:t>
      </w:r>
      <w:r w:rsidRPr="00212204">
        <w:rPr>
          <w:b/>
          <w:sz w:val="24"/>
          <w:szCs w:val="24"/>
        </w:rPr>
        <w:tab/>
      </w:r>
      <w:r w:rsidR="00AB7FC6" w:rsidRPr="00212204">
        <w:rPr>
          <w:b/>
          <w:sz w:val="24"/>
          <w:szCs w:val="24"/>
        </w:rPr>
        <w:t>AT&amp;T</w:t>
      </w:r>
    </w:p>
    <w:p w14:paraId="53AB0F5E" w14:textId="77777777" w:rsidR="00CA005F" w:rsidRDefault="0060603E" w:rsidP="00326FF6">
      <w:pPr>
        <w:ind w:left="1800" w:hanging="1800"/>
        <w:rPr>
          <w:b/>
          <w:sz w:val="24"/>
          <w:szCs w:val="24"/>
        </w:rPr>
      </w:pPr>
      <w:r w:rsidRPr="00212204">
        <w:rPr>
          <w:b/>
          <w:sz w:val="24"/>
          <w:szCs w:val="24"/>
        </w:rPr>
        <w:t>Title:</w:t>
      </w:r>
      <w:r w:rsidR="002D479B" w:rsidRPr="00212204">
        <w:rPr>
          <w:sz w:val="24"/>
          <w:szCs w:val="24"/>
        </w:rPr>
        <w:tab/>
      </w:r>
      <w:r w:rsidR="00CA005F" w:rsidRPr="00CA005F">
        <w:rPr>
          <w:b/>
          <w:sz w:val="24"/>
          <w:szCs w:val="24"/>
        </w:rPr>
        <w:t xml:space="preserve">IAB node resource allocation </w:t>
      </w:r>
      <w:proofErr w:type="spellStart"/>
      <w:r w:rsidR="00CA005F" w:rsidRPr="00CA005F">
        <w:rPr>
          <w:b/>
          <w:sz w:val="24"/>
          <w:szCs w:val="24"/>
        </w:rPr>
        <w:t>signalling</w:t>
      </w:r>
      <w:proofErr w:type="spellEnd"/>
      <w:r w:rsidR="00CA005F" w:rsidRPr="00CA005F">
        <w:rPr>
          <w:b/>
          <w:sz w:val="24"/>
          <w:szCs w:val="24"/>
        </w:rPr>
        <w:t xml:space="preserve"> and configuration</w:t>
      </w:r>
      <w:bookmarkStart w:id="1" w:name="_GoBack"/>
      <w:bookmarkEnd w:id="1"/>
    </w:p>
    <w:p w14:paraId="0BC903A4" w14:textId="6F4C0D67" w:rsidR="002D479B" w:rsidRPr="000052FF" w:rsidRDefault="0060603E" w:rsidP="00326FF6">
      <w:pPr>
        <w:ind w:left="1800" w:hanging="1800"/>
        <w:rPr>
          <w:b/>
          <w:sz w:val="21"/>
          <w:szCs w:val="21"/>
        </w:rPr>
      </w:pPr>
      <w:r w:rsidRPr="00212204">
        <w:rPr>
          <w:b/>
          <w:sz w:val="24"/>
          <w:szCs w:val="24"/>
        </w:rPr>
        <w:t>Document for:</w:t>
      </w:r>
      <w:r w:rsidRPr="00212204">
        <w:rPr>
          <w:sz w:val="24"/>
          <w:szCs w:val="24"/>
        </w:rPr>
        <w:tab/>
      </w:r>
      <w:bookmarkStart w:id="2" w:name="DocumentFor"/>
      <w:bookmarkEnd w:id="2"/>
      <w:r w:rsidR="000052FF" w:rsidRPr="00212204">
        <w:rPr>
          <w:b/>
          <w:sz w:val="24"/>
          <w:szCs w:val="24"/>
        </w:rPr>
        <w:t>Discussion/</w:t>
      </w:r>
      <w:r w:rsidRPr="00212204">
        <w:rPr>
          <w:b/>
          <w:sz w:val="24"/>
          <w:szCs w:val="24"/>
        </w:rPr>
        <w:t>Approval</w:t>
      </w:r>
    </w:p>
    <w:p w14:paraId="399D6818" w14:textId="77777777" w:rsidR="00A64CF7" w:rsidRPr="00A11840" w:rsidRDefault="00A64CF7" w:rsidP="00424124">
      <w:pPr>
        <w:pStyle w:val="NoSpacing"/>
        <w:jc w:val="left"/>
        <w:rPr>
          <w:sz w:val="16"/>
          <w:szCs w:val="16"/>
        </w:rPr>
      </w:pPr>
    </w:p>
    <w:p w14:paraId="66AF3F6D" w14:textId="77777777" w:rsidR="00707D20" w:rsidRPr="00172743" w:rsidRDefault="00424124" w:rsidP="00326FF6">
      <w:pPr>
        <w:pStyle w:val="Heading1"/>
      </w:pPr>
      <w:r w:rsidRPr="00172743">
        <w:t>Introduction</w:t>
      </w:r>
    </w:p>
    <w:p w14:paraId="6C212936" w14:textId="77777777" w:rsidR="003E2741" w:rsidRDefault="003E2741" w:rsidP="003E2741">
      <w:pPr>
        <w:rPr>
          <w:rFonts w:ascii="Calibri" w:eastAsia="Malgun Gothic" w:hAnsi="Calibri" w:cs="Batang"/>
          <w:lang w:val="en-GB" w:eastAsia="ko-KR"/>
        </w:rPr>
      </w:pPr>
      <w:r w:rsidRPr="004131D6">
        <w:rPr>
          <w:rFonts w:ascii="Calibri" w:eastAsia="Malgun Gothic" w:hAnsi="Calibri" w:cs="Batang"/>
          <w:lang w:val="en-GB" w:eastAsia="ko-KR"/>
        </w:rPr>
        <w:t>As part of the Work Item on Integrated Access and Backhaul for NR [1], 3GPP has agreed to support solutions for efficient operation of integrated access and wireless backhaul for NR including the following requirements:</w:t>
      </w:r>
    </w:p>
    <w:p w14:paraId="4F36FD0B" w14:textId="77777777" w:rsidR="003E2741" w:rsidRDefault="003E2741" w:rsidP="003E2741">
      <w:pPr>
        <w:numPr>
          <w:ilvl w:val="0"/>
          <w:numId w:val="19"/>
        </w:numPr>
        <w:spacing w:beforeLines="60" w:before="144" w:afterLines="60" w:after="144" w:line="256" w:lineRule="auto"/>
        <w:jc w:val="left"/>
        <w:rPr>
          <w:rFonts w:asciiTheme="minorHAnsi" w:hAnsiTheme="minorHAnsi"/>
        </w:rPr>
      </w:pPr>
      <w:r>
        <w:t xml:space="preserve">Specification of mechanisms for resource multiplexing among backhaul and access links. This includes: </w:t>
      </w:r>
    </w:p>
    <w:p w14:paraId="0B9675BA" w14:textId="77777777" w:rsidR="003E2741" w:rsidRDefault="003E2741" w:rsidP="003E2741">
      <w:pPr>
        <w:numPr>
          <w:ilvl w:val="1"/>
          <w:numId w:val="19"/>
        </w:numPr>
        <w:spacing w:beforeLines="60" w:before="144" w:afterLines="60" w:after="144" w:line="256" w:lineRule="auto"/>
        <w:jc w:val="left"/>
      </w:pPr>
      <w:r>
        <w:t xml:space="preserve">Specification of semi-static configuration for IAB-node/IAB-donor DU resources in case of TDM operation subject to half-duplex constraint. This shall be forward compatible to allow the support of half-duplex scenarios with FDM and SDM resource sharing among backhaul and access links. </w:t>
      </w:r>
    </w:p>
    <w:p w14:paraId="262F152C" w14:textId="77777777" w:rsidR="003E2741" w:rsidRDefault="003E2741" w:rsidP="003E2741">
      <w:pPr>
        <w:pStyle w:val="ListParagraph"/>
        <w:numPr>
          <w:ilvl w:val="1"/>
          <w:numId w:val="19"/>
        </w:numPr>
        <w:spacing w:beforeLines="60" w:before="144" w:afterLines="60" w:after="144" w:line="256" w:lineRule="auto"/>
        <w:contextualSpacing w:val="0"/>
        <w:jc w:val="left"/>
      </w:pPr>
      <w:r>
        <w:t xml:space="preserve">Specification of time resource types for the DU’s child links: DL hard, DL soft, UL hard, UL soft, Flexible hard, Flexible soft, Not Available </w:t>
      </w:r>
    </w:p>
    <w:p w14:paraId="774C0017" w14:textId="77777777" w:rsidR="003E2741" w:rsidRDefault="003E2741" w:rsidP="003E2741">
      <w:pPr>
        <w:numPr>
          <w:ilvl w:val="1"/>
          <w:numId w:val="19"/>
        </w:numPr>
        <w:spacing w:beforeLines="60" w:before="144" w:afterLines="60" w:after="144" w:line="256" w:lineRule="auto"/>
        <w:jc w:val="left"/>
      </w:pPr>
      <w:r>
        <w:t xml:space="preserve">Specification of dynamic indication (L1 </w:t>
      </w:r>
      <w:proofErr w:type="spellStart"/>
      <w:r>
        <w:t>signalling</w:t>
      </w:r>
      <w:proofErr w:type="spellEnd"/>
      <w:r>
        <w:t xml:space="preserve">) of the availability of soft resources for a child IAB-node DU </w:t>
      </w:r>
    </w:p>
    <w:p w14:paraId="39AC5AA8" w14:textId="77777777" w:rsidR="003E2741" w:rsidRDefault="003E2741" w:rsidP="003E2741">
      <w:pPr>
        <w:pStyle w:val="ListParagraph"/>
        <w:numPr>
          <w:ilvl w:val="1"/>
          <w:numId w:val="19"/>
        </w:numPr>
        <w:spacing w:beforeLines="60" w:before="144" w:afterLines="60" w:after="144" w:line="256" w:lineRule="auto"/>
        <w:contextualSpacing w:val="0"/>
        <w:jc w:val="left"/>
      </w:pPr>
      <w:r>
        <w:t xml:space="preserve">Specification of required transmission/reception rules for IAB-nodes and associated </w:t>
      </w:r>
      <w:proofErr w:type="spellStart"/>
      <w:r>
        <w:t>behaviours</w:t>
      </w:r>
      <w:proofErr w:type="spellEnd"/>
      <w:r>
        <w:t xml:space="preserve"> regarding time resource utilization as discussed in TR 38.874 clause 7.3.3.</w:t>
      </w:r>
    </w:p>
    <w:p w14:paraId="241EB2E1" w14:textId="3F949455" w:rsidR="003E2741" w:rsidRPr="00C724F1" w:rsidRDefault="003E2741" w:rsidP="003E2741">
      <w:pPr>
        <w:pStyle w:val="maintext"/>
        <w:ind w:firstLineChars="0" w:firstLine="0"/>
        <w:rPr>
          <w:rFonts w:ascii="Calibri" w:hAnsi="Calibri"/>
        </w:rPr>
      </w:pPr>
      <w:r w:rsidRPr="00C724F1">
        <w:rPr>
          <w:rFonts w:ascii="Calibri" w:hAnsi="Calibri"/>
        </w:rPr>
        <w:t xml:space="preserve">This contribution discusses </w:t>
      </w:r>
      <w:r>
        <w:rPr>
          <w:rFonts w:ascii="Calibri" w:hAnsi="Calibri"/>
        </w:rPr>
        <w:t xml:space="preserve">the </w:t>
      </w:r>
      <w:r w:rsidR="005A60E9">
        <w:rPr>
          <w:rFonts w:ascii="Calibri" w:hAnsi="Calibri"/>
        </w:rPr>
        <w:t>signalling and configuration</w:t>
      </w:r>
      <w:r>
        <w:rPr>
          <w:rFonts w:ascii="Calibri" w:hAnsi="Calibri"/>
        </w:rPr>
        <w:t xml:space="preserve"> for the multiplexing of access and backhaul link</w:t>
      </w:r>
      <w:r w:rsidR="005A60E9">
        <w:rPr>
          <w:rFonts w:ascii="Calibri" w:hAnsi="Calibri"/>
        </w:rPr>
        <w:t xml:space="preserve"> resource</w:t>
      </w:r>
      <w:r>
        <w:rPr>
          <w:rFonts w:ascii="Calibri" w:hAnsi="Calibri"/>
        </w:rPr>
        <w:t>s</w:t>
      </w:r>
      <w:r w:rsidRPr="00C724F1">
        <w:rPr>
          <w:rFonts w:ascii="Calibri" w:hAnsi="Calibri"/>
        </w:rPr>
        <w:t>.</w:t>
      </w:r>
    </w:p>
    <w:p w14:paraId="48C11F08" w14:textId="77777777" w:rsidR="00346605" w:rsidRPr="00172743" w:rsidRDefault="00FE4A8C" w:rsidP="00326FF6">
      <w:pPr>
        <w:pStyle w:val="Heading1"/>
      </w:pPr>
      <w:r>
        <w:t>Frame Structure Design for Access and Backhaul Multiplexing</w:t>
      </w:r>
    </w:p>
    <w:p w14:paraId="5728FFBC" w14:textId="5D8EE346" w:rsidR="00C11C1A" w:rsidRDefault="00C724F1" w:rsidP="00EE2068">
      <w:pPr>
        <w:pStyle w:val="maintext"/>
        <w:ind w:firstLineChars="0" w:firstLine="0"/>
        <w:rPr>
          <w:rFonts w:ascii="Calibri" w:hAnsi="Calibri"/>
        </w:rPr>
      </w:pPr>
      <w:r w:rsidRPr="00233D70">
        <w:rPr>
          <w:rFonts w:ascii="Calibri" w:hAnsi="Calibri"/>
        </w:rPr>
        <w:t xml:space="preserve">An example of a network with integrated access and backhaul links is shown in Figure 1 below. </w:t>
      </w:r>
      <w:r>
        <w:rPr>
          <w:rFonts w:ascii="Calibri" w:hAnsi="Calibri"/>
        </w:rPr>
        <w:t>T</w:t>
      </w:r>
      <w:r w:rsidRPr="00233D70">
        <w:rPr>
          <w:rFonts w:ascii="Calibri" w:hAnsi="Calibri"/>
        </w:rPr>
        <w:t xml:space="preserve">he operation of the different links may be on the same or different frequencies (also termed ‘in-band’ and ‘out-band’ relays). </w:t>
      </w:r>
      <w:r w:rsidR="00BB5132">
        <w:rPr>
          <w:rFonts w:ascii="Calibri" w:hAnsi="Calibri"/>
        </w:rPr>
        <w:t>Each IAB node</w:t>
      </w:r>
      <w:r w:rsidR="00BB5132" w:rsidRPr="00917D0F">
        <w:rPr>
          <w:rFonts w:ascii="Calibri" w:hAnsi="Calibri"/>
        </w:rPr>
        <w:t xml:space="preserve"> </w:t>
      </w:r>
      <w:r w:rsidR="00BB5132">
        <w:rPr>
          <w:rFonts w:ascii="Calibri" w:hAnsi="Calibri"/>
        </w:rPr>
        <w:t>has</w:t>
      </w:r>
      <w:r w:rsidR="00155BC2">
        <w:rPr>
          <w:rFonts w:ascii="Calibri" w:hAnsi="Calibri"/>
        </w:rPr>
        <w:t xml:space="preserve"> both DU functionality (IAB-DU</w:t>
      </w:r>
      <w:r w:rsidR="00B3707E">
        <w:rPr>
          <w:rFonts w:ascii="Calibri" w:hAnsi="Calibri"/>
        </w:rPr>
        <w:t xml:space="preserve">) </w:t>
      </w:r>
      <w:r w:rsidR="00BB5132" w:rsidRPr="00917D0F">
        <w:rPr>
          <w:rFonts w:ascii="Calibri" w:hAnsi="Calibri"/>
        </w:rPr>
        <w:t xml:space="preserve">as well as </w:t>
      </w:r>
      <w:r w:rsidR="00BB5132">
        <w:rPr>
          <w:rFonts w:ascii="Calibri" w:hAnsi="Calibri"/>
        </w:rPr>
        <w:t>UE</w:t>
      </w:r>
      <w:r w:rsidR="00155BC2">
        <w:rPr>
          <w:rFonts w:ascii="Calibri" w:hAnsi="Calibri"/>
        </w:rPr>
        <w:t>-like</w:t>
      </w:r>
      <w:r w:rsidR="00BB5132">
        <w:rPr>
          <w:rFonts w:ascii="Calibri" w:hAnsi="Calibri"/>
        </w:rPr>
        <w:t xml:space="preserve"> </w:t>
      </w:r>
      <w:r w:rsidR="00BB5132" w:rsidRPr="00917D0F">
        <w:rPr>
          <w:rFonts w:ascii="Calibri" w:hAnsi="Calibri"/>
        </w:rPr>
        <w:t>functionality</w:t>
      </w:r>
      <w:r w:rsidR="00B3707E">
        <w:rPr>
          <w:rFonts w:ascii="Calibri" w:hAnsi="Calibri"/>
        </w:rPr>
        <w:t xml:space="preserve"> (</w:t>
      </w:r>
      <w:r w:rsidR="00155BC2">
        <w:rPr>
          <w:rFonts w:ascii="Calibri" w:hAnsi="Calibri"/>
        </w:rPr>
        <w:t>IAB-MT</w:t>
      </w:r>
      <w:r w:rsidR="00B3707E">
        <w:rPr>
          <w:rFonts w:ascii="Calibri" w:hAnsi="Calibri"/>
        </w:rPr>
        <w:t>)</w:t>
      </w:r>
      <w:r w:rsidR="00BB5132" w:rsidRPr="00917D0F">
        <w:rPr>
          <w:rFonts w:ascii="Calibri" w:hAnsi="Calibri"/>
        </w:rPr>
        <w:t xml:space="preserve">. The relay </w:t>
      </w:r>
      <w:r w:rsidR="00BB5132">
        <w:rPr>
          <w:rFonts w:ascii="Calibri" w:hAnsi="Calibri"/>
        </w:rPr>
        <w:t>is connected to an IAB node</w:t>
      </w:r>
      <w:r w:rsidR="00BB5132" w:rsidRPr="00917D0F">
        <w:rPr>
          <w:rFonts w:ascii="Calibri" w:hAnsi="Calibri"/>
        </w:rPr>
        <w:t xml:space="preserve"> of a higher hop order</w:t>
      </w:r>
      <w:r w:rsidR="00BB5132">
        <w:rPr>
          <w:rFonts w:ascii="Calibri" w:hAnsi="Calibri"/>
        </w:rPr>
        <w:t xml:space="preserve"> </w:t>
      </w:r>
      <w:r w:rsidR="00155BC2">
        <w:rPr>
          <w:rFonts w:ascii="Calibri" w:hAnsi="Calibri"/>
        </w:rPr>
        <w:t xml:space="preserve">in a similar way </w:t>
      </w:r>
      <w:r w:rsidR="00BB5132">
        <w:rPr>
          <w:rFonts w:ascii="Calibri" w:hAnsi="Calibri"/>
        </w:rPr>
        <w:t xml:space="preserve">as a UE, while the IAB node </w:t>
      </w:r>
      <w:r w:rsidR="00BB5132" w:rsidRPr="00917D0F">
        <w:rPr>
          <w:rFonts w:ascii="Calibri" w:hAnsi="Calibri"/>
        </w:rPr>
        <w:t>serves relay UEs inside IAB nodes of lower hop orders or its own access UEs.</w:t>
      </w:r>
    </w:p>
    <w:p w14:paraId="5AE7A83C" w14:textId="77777777" w:rsidR="00C724F1" w:rsidRPr="00EC51BC" w:rsidRDefault="00DE2A3F" w:rsidP="00C724F1">
      <w:pPr>
        <w:spacing w:after="60" w:line="288" w:lineRule="auto"/>
        <w:jc w:val="center"/>
        <w:rPr>
          <w:rFonts w:eastAsia="Malgun Gothic" w:cs="Batang"/>
          <w:b/>
          <w:lang w:val="en-GB" w:eastAsia="ko-KR"/>
        </w:rPr>
      </w:pPr>
      <w:r w:rsidRPr="00C724F1">
        <w:rPr>
          <w:rFonts w:eastAsia="Malgun Gothic" w:cs="Batang"/>
          <w:b/>
          <w:noProof/>
        </w:rPr>
        <w:drawing>
          <wp:inline distT="0" distB="0" distL="0" distR="0" wp14:anchorId="4C61F1F2" wp14:editId="74AAF53C">
            <wp:extent cx="3096946" cy="1147018"/>
            <wp:effectExtent l="0" t="0" r="1905"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204847" cy="1186981"/>
                    </a:xfrm>
                    <a:prstGeom prst="rect">
                      <a:avLst/>
                    </a:prstGeom>
                    <a:noFill/>
                    <a:ln>
                      <a:noFill/>
                    </a:ln>
                  </pic:spPr>
                </pic:pic>
              </a:graphicData>
            </a:graphic>
          </wp:inline>
        </w:drawing>
      </w:r>
    </w:p>
    <w:p w14:paraId="042DF6F1" w14:textId="77777777" w:rsidR="00C724F1" w:rsidRPr="00BB5132" w:rsidRDefault="00C724F1" w:rsidP="00C724F1">
      <w:pPr>
        <w:spacing w:after="240" w:line="360" w:lineRule="auto"/>
        <w:ind w:left="720"/>
        <w:jc w:val="center"/>
        <w:rPr>
          <w:rFonts w:ascii="Calibri" w:hAnsi="Calibri"/>
          <w:b/>
          <w:bCs/>
          <w:sz w:val="22"/>
          <w:lang w:val="en-GB" w:eastAsia="zh-CN"/>
        </w:rPr>
      </w:pPr>
      <w:r w:rsidRPr="00BB5132">
        <w:rPr>
          <w:rFonts w:ascii="Calibri" w:hAnsi="Calibri"/>
          <w:b/>
          <w:bCs/>
          <w:sz w:val="22"/>
          <w:lang w:val="en-GB" w:eastAsia="zh-CN"/>
        </w:rPr>
        <w:t xml:space="preserve">Figure 1: Integrated access and backhaul links </w:t>
      </w:r>
    </w:p>
    <w:p w14:paraId="3645CEA8" w14:textId="77777777" w:rsidR="00D220ED" w:rsidRDefault="00D220ED" w:rsidP="00D220ED">
      <w:pPr>
        <w:pStyle w:val="maintext"/>
        <w:ind w:firstLineChars="0" w:firstLine="0"/>
        <w:rPr>
          <w:rFonts w:ascii="Calibri" w:hAnsi="Calibri"/>
        </w:rPr>
      </w:pPr>
      <w:r>
        <w:rPr>
          <w:rFonts w:ascii="Calibri" w:hAnsi="Calibri"/>
        </w:rPr>
        <w:t>In addition, for in-band operation IAB</w:t>
      </w:r>
      <w:r w:rsidRPr="00BA6FDB">
        <w:rPr>
          <w:rFonts w:ascii="Calibri" w:hAnsi="Calibri"/>
        </w:rPr>
        <w:t xml:space="preserve"> nodes</w:t>
      </w:r>
      <w:r>
        <w:rPr>
          <w:rFonts w:ascii="Calibri" w:hAnsi="Calibri"/>
        </w:rPr>
        <w:t xml:space="preserve"> are assumed to operate with a half-duplex constraint as shown in Figure 2, which means they can only do the following at any given time:</w:t>
      </w:r>
    </w:p>
    <w:p w14:paraId="2F15CA97" w14:textId="77777777" w:rsidR="00D220ED" w:rsidRPr="0057145F" w:rsidRDefault="00D220ED" w:rsidP="00D220ED">
      <w:pPr>
        <w:pStyle w:val="maintext"/>
        <w:numPr>
          <w:ilvl w:val="0"/>
          <w:numId w:val="4"/>
        </w:numPr>
        <w:ind w:firstLineChars="0"/>
        <w:rPr>
          <w:rFonts w:ascii="Calibri" w:hAnsi="Calibri"/>
        </w:rPr>
      </w:pPr>
      <w:r w:rsidRPr="00BA6FDB">
        <w:rPr>
          <w:rFonts w:ascii="Calibri" w:hAnsi="Calibri"/>
        </w:rPr>
        <w:t xml:space="preserve">Receive on the access link (UE to </w:t>
      </w:r>
      <w:r>
        <w:rPr>
          <w:rFonts w:ascii="Calibri" w:hAnsi="Calibri"/>
        </w:rPr>
        <w:t>IAB node</w:t>
      </w:r>
      <w:r w:rsidRPr="00BA6FDB">
        <w:rPr>
          <w:rFonts w:ascii="Calibri" w:hAnsi="Calibri"/>
        </w:rPr>
        <w:t>) and/or backhaul link (</w:t>
      </w:r>
      <w:r>
        <w:rPr>
          <w:rFonts w:ascii="Calibri" w:hAnsi="Calibri"/>
        </w:rPr>
        <w:t>IAB node</w:t>
      </w:r>
      <w:r w:rsidRPr="00BA6FDB">
        <w:rPr>
          <w:rFonts w:ascii="Calibri" w:hAnsi="Calibri"/>
        </w:rPr>
        <w:t xml:space="preserve"> to </w:t>
      </w:r>
      <w:r>
        <w:rPr>
          <w:rFonts w:ascii="Calibri" w:hAnsi="Calibri"/>
        </w:rPr>
        <w:t>IAB node</w:t>
      </w:r>
      <w:r w:rsidRPr="00BA6FDB">
        <w:rPr>
          <w:rFonts w:ascii="Calibri" w:hAnsi="Calibri"/>
        </w:rPr>
        <w:t xml:space="preserve">) </w:t>
      </w:r>
    </w:p>
    <w:p w14:paraId="7209C83D" w14:textId="77777777" w:rsidR="00D220ED" w:rsidRDefault="00D220ED" w:rsidP="00D220ED">
      <w:pPr>
        <w:pStyle w:val="maintext"/>
        <w:numPr>
          <w:ilvl w:val="0"/>
          <w:numId w:val="4"/>
        </w:numPr>
        <w:ind w:firstLineChars="0"/>
        <w:rPr>
          <w:rFonts w:ascii="Calibri" w:hAnsi="Calibri"/>
        </w:rPr>
      </w:pPr>
      <w:r w:rsidRPr="00BA6FDB">
        <w:rPr>
          <w:rFonts w:ascii="Calibri" w:hAnsi="Calibri"/>
        </w:rPr>
        <w:t xml:space="preserve">Transmit on the access link and/or backhaul link </w:t>
      </w:r>
    </w:p>
    <w:p w14:paraId="7C53ADA3" w14:textId="77777777" w:rsidR="00D220ED" w:rsidRDefault="00D220ED" w:rsidP="00D220ED">
      <w:pPr>
        <w:pStyle w:val="maintext"/>
        <w:ind w:firstLineChars="0" w:firstLine="0"/>
        <w:rPr>
          <w:rFonts w:ascii="Calibri" w:hAnsi="Calibri"/>
        </w:rPr>
      </w:pPr>
    </w:p>
    <w:p w14:paraId="7F20F3AA" w14:textId="134C1E0A" w:rsidR="00D220ED" w:rsidRPr="00D220ED" w:rsidRDefault="00D220ED" w:rsidP="00D220ED">
      <w:pPr>
        <w:pStyle w:val="maintext"/>
        <w:keepNext/>
        <w:ind w:firstLineChars="0" w:firstLine="0"/>
        <w:jc w:val="center"/>
      </w:pPr>
      <w:r>
        <w:rPr>
          <w:noProof/>
          <w:color w:val="1F497D"/>
          <w:lang w:val="en-US" w:eastAsia="en-US"/>
        </w:rPr>
        <w:drawing>
          <wp:inline distT="0" distB="0" distL="0" distR="0" wp14:anchorId="52F533E3" wp14:editId="78815B5F">
            <wp:extent cx="2680781" cy="1802102"/>
            <wp:effectExtent l="0" t="0" r="0" b="1905"/>
            <wp:docPr id="5" name="Picture 5" descr="cid:image005.png@01D3944D.5F4730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id:image005.png@01D3944D.5F473090"/>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2741297" cy="1842783"/>
                    </a:xfrm>
                    <a:prstGeom prst="rect">
                      <a:avLst/>
                    </a:prstGeom>
                    <a:noFill/>
                    <a:ln>
                      <a:noFill/>
                    </a:ln>
                  </pic:spPr>
                </pic:pic>
              </a:graphicData>
            </a:graphic>
          </wp:inline>
        </w:drawing>
      </w:r>
    </w:p>
    <w:p w14:paraId="2E30B80C" w14:textId="77777777" w:rsidR="00D220ED" w:rsidRDefault="00D220ED" w:rsidP="00D220ED">
      <w:pPr>
        <w:overflowPunct w:val="0"/>
        <w:autoSpaceDE w:val="0"/>
        <w:autoSpaceDN w:val="0"/>
        <w:adjustRightInd w:val="0"/>
        <w:spacing w:after="240" w:line="360" w:lineRule="auto"/>
        <w:jc w:val="center"/>
        <w:textAlignment w:val="baseline"/>
        <w:rPr>
          <w:rFonts w:ascii="Calibri" w:hAnsi="Calibri"/>
          <w:b/>
          <w:bCs/>
          <w:sz w:val="22"/>
          <w:lang w:val="en-GB" w:eastAsia="zh-CN"/>
        </w:rPr>
      </w:pPr>
      <w:r>
        <w:rPr>
          <w:rFonts w:ascii="Calibri" w:hAnsi="Calibri"/>
          <w:b/>
          <w:bCs/>
          <w:sz w:val="22"/>
          <w:lang w:val="en-GB" w:eastAsia="zh-CN"/>
        </w:rPr>
        <w:t>Figure 2</w:t>
      </w:r>
      <w:r w:rsidRPr="006C49B6">
        <w:rPr>
          <w:rFonts w:ascii="Calibri" w:hAnsi="Calibri"/>
          <w:b/>
          <w:bCs/>
          <w:sz w:val="22"/>
          <w:lang w:val="en-GB" w:eastAsia="zh-CN"/>
        </w:rPr>
        <w:t xml:space="preserve">: </w:t>
      </w:r>
      <w:r>
        <w:rPr>
          <w:rFonts w:ascii="Calibri" w:hAnsi="Calibri"/>
          <w:b/>
          <w:bCs/>
          <w:sz w:val="22"/>
          <w:lang w:val="en-GB" w:eastAsia="zh-CN"/>
        </w:rPr>
        <w:t>H</w:t>
      </w:r>
      <w:r w:rsidRPr="002C594E">
        <w:rPr>
          <w:rFonts w:ascii="Calibri" w:hAnsi="Calibri"/>
          <w:b/>
          <w:bCs/>
          <w:sz w:val="22"/>
          <w:lang w:val="en-GB" w:eastAsia="zh-CN"/>
        </w:rPr>
        <w:t>alf-duplex constraint at the relay</w:t>
      </w:r>
    </w:p>
    <w:p w14:paraId="1E115E6E" w14:textId="77777777" w:rsidR="00D220ED" w:rsidRPr="00222811" w:rsidRDefault="00D220ED" w:rsidP="00D220ED">
      <w:pPr>
        <w:pStyle w:val="maintext"/>
        <w:ind w:firstLineChars="0" w:firstLine="0"/>
        <w:rPr>
          <w:rFonts w:ascii="Calibri" w:eastAsia="Times New Roman" w:hAnsi="Calibri" w:cs="Times New Roman"/>
          <w:color w:val="000000"/>
          <w:lang w:eastAsia="zh-CN"/>
        </w:rPr>
      </w:pPr>
      <w:r>
        <w:rPr>
          <w:rFonts w:ascii="Calibri" w:hAnsi="Calibri"/>
        </w:rPr>
        <w:t xml:space="preserve">A key advantage of IAB is that </w:t>
      </w:r>
      <w:proofErr w:type="gramStart"/>
      <w:r>
        <w:rPr>
          <w:rFonts w:ascii="Calibri" w:hAnsi="Calibri"/>
        </w:rPr>
        <w:t>b</w:t>
      </w:r>
      <w:r w:rsidRPr="00E725D9">
        <w:rPr>
          <w:rFonts w:ascii="Calibri" w:hAnsi="Calibri"/>
        </w:rPr>
        <w:t>ackhaul</w:t>
      </w:r>
      <w:proofErr w:type="gramEnd"/>
      <w:r w:rsidRPr="00E725D9">
        <w:rPr>
          <w:rFonts w:ascii="Calibri" w:hAnsi="Calibri"/>
        </w:rPr>
        <w:t xml:space="preserve"> and access are integrated and multiplexed in the scheduler, allowing very dynamic resource allocation between the backhaul and access links</w:t>
      </w:r>
      <w:r>
        <w:rPr>
          <w:rFonts w:ascii="Calibri" w:hAnsi="Calibri"/>
        </w:rPr>
        <w:t xml:space="preserve"> (in both DL and UL directions)</w:t>
      </w:r>
      <w:r w:rsidRPr="00E725D9">
        <w:rPr>
          <w:rFonts w:ascii="Calibri" w:hAnsi="Calibri"/>
        </w:rPr>
        <w:t>.</w:t>
      </w:r>
      <w:r>
        <w:rPr>
          <w:rFonts w:ascii="Calibri" w:hAnsi="Calibri"/>
        </w:rPr>
        <w:t xml:space="preserve"> </w:t>
      </w:r>
      <w:r w:rsidRPr="00222811">
        <w:rPr>
          <w:rFonts w:ascii="Calibri" w:eastAsia="Times New Roman" w:hAnsi="Calibri" w:cs="Times New Roman"/>
          <w:color w:val="000000"/>
          <w:lang w:eastAsia="zh-CN"/>
        </w:rPr>
        <w:t xml:space="preserve">Even though the IAB relay node consists of </w:t>
      </w:r>
      <w:r>
        <w:rPr>
          <w:rFonts w:ascii="Calibri" w:eastAsia="Times New Roman" w:hAnsi="Calibri" w:cs="Times New Roman"/>
          <w:color w:val="000000"/>
          <w:lang w:eastAsia="zh-CN"/>
        </w:rPr>
        <w:t>two</w:t>
      </w:r>
      <w:r w:rsidRPr="00222811">
        <w:rPr>
          <w:rFonts w:ascii="Calibri" w:eastAsia="Times New Roman" w:hAnsi="Calibri" w:cs="Times New Roman"/>
          <w:color w:val="000000"/>
          <w:lang w:eastAsia="zh-CN"/>
        </w:rPr>
        <w:t xml:space="preserve"> logical nodes each with its own</w:t>
      </w:r>
      <w:r>
        <w:rPr>
          <w:rFonts w:ascii="Calibri" w:eastAsia="Times New Roman" w:hAnsi="Calibri" w:cs="Times New Roman"/>
          <w:color w:val="000000"/>
          <w:lang w:eastAsia="zh-CN"/>
        </w:rPr>
        <w:t xml:space="preserve"> protocol</w:t>
      </w:r>
      <w:r w:rsidRPr="00222811">
        <w:rPr>
          <w:rFonts w:ascii="Calibri" w:eastAsia="Times New Roman" w:hAnsi="Calibri" w:cs="Times New Roman"/>
          <w:color w:val="000000"/>
          <w:lang w:eastAsia="zh-CN"/>
        </w:rPr>
        <w:t xml:space="preserve"> stack, the physical transceiver is shared between them. In other </w:t>
      </w:r>
      <w:proofErr w:type="gramStart"/>
      <w:r w:rsidRPr="00222811">
        <w:rPr>
          <w:rFonts w:ascii="Calibri" w:eastAsia="Times New Roman" w:hAnsi="Calibri" w:cs="Times New Roman"/>
          <w:color w:val="000000"/>
          <w:lang w:eastAsia="zh-CN"/>
        </w:rPr>
        <w:t>words</w:t>
      </w:r>
      <w:proofErr w:type="gramEnd"/>
      <w:r w:rsidRPr="00222811">
        <w:rPr>
          <w:rFonts w:ascii="Calibri" w:eastAsia="Times New Roman" w:hAnsi="Calibri" w:cs="Times New Roman"/>
          <w:color w:val="000000"/>
          <w:lang w:eastAsia="zh-CN"/>
        </w:rPr>
        <w:t xml:space="preserve"> the PHY of the </w:t>
      </w:r>
      <w:r>
        <w:rPr>
          <w:rFonts w:ascii="Calibri" w:eastAsia="Times New Roman" w:hAnsi="Calibri" w:cs="Times New Roman"/>
          <w:color w:val="000000"/>
          <w:lang w:eastAsia="zh-CN"/>
        </w:rPr>
        <w:t>MT</w:t>
      </w:r>
      <w:r w:rsidRPr="00222811">
        <w:rPr>
          <w:rFonts w:ascii="Calibri" w:eastAsia="Times New Roman" w:hAnsi="Calibri" w:cs="Times New Roman"/>
          <w:color w:val="000000"/>
          <w:lang w:eastAsia="zh-CN"/>
        </w:rPr>
        <w:t xml:space="preserve"> and the PHY of the DU run on the same transceiver systems. The backhaul link and the access link can therefore be multiplexed in the following manner: </w:t>
      </w:r>
    </w:p>
    <w:p w14:paraId="1B607309" w14:textId="77777777" w:rsidR="00D220ED" w:rsidRPr="00222811" w:rsidRDefault="00D220ED" w:rsidP="00D220ED">
      <w:pPr>
        <w:pStyle w:val="maintext"/>
        <w:numPr>
          <w:ilvl w:val="0"/>
          <w:numId w:val="7"/>
        </w:numPr>
        <w:ind w:firstLineChars="0"/>
        <w:rPr>
          <w:rFonts w:ascii="Calibri" w:eastAsia="Times New Roman" w:hAnsi="Calibri" w:cs="Times New Roman"/>
          <w:color w:val="000000"/>
          <w:lang w:eastAsia="zh-CN"/>
        </w:rPr>
      </w:pPr>
      <w:r w:rsidRPr="00B3707E">
        <w:rPr>
          <w:rFonts w:ascii="Calibri" w:eastAsia="Times New Roman" w:hAnsi="Calibri" w:cs="Times New Roman"/>
          <w:b/>
          <w:color w:val="000000"/>
          <w:lang w:eastAsia="zh-CN"/>
        </w:rPr>
        <w:t>Time Division Multiplexing</w:t>
      </w:r>
      <w:r w:rsidRPr="00222811">
        <w:rPr>
          <w:rFonts w:ascii="Calibri" w:eastAsia="Times New Roman" w:hAnsi="Calibri" w:cs="Times New Roman"/>
          <w:color w:val="000000"/>
          <w:lang w:eastAsia="zh-CN"/>
        </w:rPr>
        <w:t xml:space="preserve">: The access link and the backhaul link are time multiplexed with each other. This implies that </w:t>
      </w:r>
      <w:r>
        <w:rPr>
          <w:rFonts w:ascii="Calibri" w:eastAsia="Times New Roman" w:hAnsi="Calibri" w:cs="Times New Roman"/>
          <w:color w:val="000000"/>
          <w:lang w:eastAsia="zh-CN"/>
        </w:rPr>
        <w:t>IAB-MT</w:t>
      </w:r>
      <w:r w:rsidRPr="00222811">
        <w:rPr>
          <w:rFonts w:ascii="Calibri" w:eastAsia="Times New Roman" w:hAnsi="Calibri" w:cs="Times New Roman"/>
          <w:color w:val="000000"/>
          <w:lang w:eastAsia="zh-CN"/>
        </w:rPr>
        <w:t xml:space="preserve"> PHY and </w:t>
      </w:r>
      <w:r>
        <w:rPr>
          <w:rFonts w:ascii="Calibri" w:eastAsia="Times New Roman" w:hAnsi="Calibri" w:cs="Times New Roman"/>
          <w:color w:val="000000"/>
          <w:lang w:eastAsia="zh-CN"/>
        </w:rPr>
        <w:t>IAB-DU</w:t>
      </w:r>
      <w:r w:rsidRPr="00222811">
        <w:rPr>
          <w:rFonts w:ascii="Calibri" w:eastAsia="Times New Roman" w:hAnsi="Calibri" w:cs="Times New Roman"/>
          <w:color w:val="000000"/>
          <w:lang w:eastAsia="zh-CN"/>
        </w:rPr>
        <w:t xml:space="preserve"> PHY are not active simultaneously. </w:t>
      </w:r>
    </w:p>
    <w:p w14:paraId="5E29E846" w14:textId="77777777" w:rsidR="00D220ED" w:rsidRPr="00222811" w:rsidRDefault="00D220ED" w:rsidP="00D220ED">
      <w:pPr>
        <w:pStyle w:val="maintext"/>
        <w:numPr>
          <w:ilvl w:val="0"/>
          <w:numId w:val="7"/>
        </w:numPr>
        <w:ind w:firstLineChars="0"/>
        <w:rPr>
          <w:rFonts w:ascii="Calibri" w:eastAsia="Times New Roman" w:hAnsi="Calibri" w:cs="Times New Roman"/>
          <w:color w:val="000000"/>
          <w:lang w:eastAsia="zh-CN"/>
        </w:rPr>
      </w:pPr>
      <w:r w:rsidRPr="00B3707E">
        <w:rPr>
          <w:rFonts w:ascii="Calibri" w:eastAsia="Times New Roman" w:hAnsi="Calibri" w:cs="Times New Roman"/>
          <w:b/>
          <w:color w:val="000000"/>
          <w:lang w:eastAsia="zh-CN"/>
        </w:rPr>
        <w:t>Frequency Division Multiplexing</w:t>
      </w:r>
      <w:r w:rsidRPr="00222811">
        <w:rPr>
          <w:rFonts w:ascii="Calibri" w:eastAsia="Times New Roman" w:hAnsi="Calibri" w:cs="Times New Roman"/>
          <w:color w:val="000000"/>
          <w:lang w:eastAsia="zh-CN"/>
        </w:rPr>
        <w:t xml:space="preserve">: The access link and the backhaul link are active at the same time but on different frequency resources, e.g. on separate CC or on separate PRB on the same CC. </w:t>
      </w:r>
    </w:p>
    <w:p w14:paraId="08C0B4A1" w14:textId="77777777" w:rsidR="00D220ED" w:rsidRPr="00222811" w:rsidRDefault="00D220ED" w:rsidP="00D220ED">
      <w:pPr>
        <w:pStyle w:val="maintext"/>
        <w:numPr>
          <w:ilvl w:val="0"/>
          <w:numId w:val="7"/>
        </w:numPr>
        <w:ind w:firstLineChars="0"/>
        <w:rPr>
          <w:rFonts w:ascii="Calibri" w:eastAsia="Times New Roman" w:hAnsi="Calibri" w:cs="Times New Roman"/>
          <w:color w:val="000000"/>
          <w:lang w:eastAsia="zh-CN"/>
        </w:rPr>
      </w:pPr>
      <w:r w:rsidRPr="00B3707E">
        <w:rPr>
          <w:rFonts w:ascii="Calibri" w:eastAsia="Times New Roman" w:hAnsi="Calibri" w:cs="Times New Roman"/>
          <w:b/>
          <w:color w:val="000000"/>
          <w:lang w:eastAsia="zh-CN"/>
        </w:rPr>
        <w:t>Spatial Multiplexing</w:t>
      </w:r>
      <w:r w:rsidRPr="00222811">
        <w:rPr>
          <w:rFonts w:ascii="Calibri" w:eastAsia="Times New Roman" w:hAnsi="Calibri" w:cs="Times New Roman"/>
          <w:color w:val="000000"/>
          <w:lang w:eastAsia="zh-CN"/>
        </w:rPr>
        <w:t xml:space="preserve">: The access link and the backhaul link are active at the same time on the same frequency resources. This case further be divided in to the two following cases: </w:t>
      </w:r>
    </w:p>
    <w:p w14:paraId="63DE26E1" w14:textId="77777777" w:rsidR="00D220ED" w:rsidRPr="00222811" w:rsidRDefault="00D220ED" w:rsidP="00D220ED">
      <w:pPr>
        <w:pStyle w:val="maintext"/>
        <w:numPr>
          <w:ilvl w:val="1"/>
          <w:numId w:val="7"/>
        </w:numPr>
        <w:ind w:firstLineChars="0"/>
        <w:rPr>
          <w:rFonts w:ascii="Calibri" w:eastAsia="Times New Roman" w:hAnsi="Calibri" w:cs="Times New Roman"/>
          <w:color w:val="000000"/>
          <w:lang w:eastAsia="zh-CN"/>
        </w:rPr>
      </w:pPr>
      <w:r w:rsidRPr="00222811">
        <w:rPr>
          <w:rFonts w:ascii="Calibri" w:eastAsia="Times New Roman" w:hAnsi="Calibri" w:cs="Times New Roman"/>
          <w:color w:val="000000"/>
          <w:lang w:eastAsia="zh-CN"/>
        </w:rPr>
        <w:t>Intra Panel SDM: The access and backhaul use the same panel but different spatial layers</w:t>
      </w:r>
    </w:p>
    <w:p w14:paraId="5C866DE3" w14:textId="77777777" w:rsidR="00D220ED" w:rsidRPr="00222811" w:rsidRDefault="00D220ED" w:rsidP="00D220ED">
      <w:pPr>
        <w:pStyle w:val="maintext"/>
        <w:numPr>
          <w:ilvl w:val="1"/>
          <w:numId w:val="7"/>
        </w:numPr>
        <w:ind w:firstLineChars="0"/>
        <w:rPr>
          <w:rFonts w:ascii="Calibri" w:eastAsia="Times New Roman" w:hAnsi="Calibri" w:cs="Times New Roman"/>
          <w:color w:val="000000"/>
          <w:lang w:eastAsia="zh-CN"/>
        </w:rPr>
      </w:pPr>
      <w:r w:rsidRPr="00222811">
        <w:rPr>
          <w:rFonts w:ascii="Calibri" w:eastAsia="Times New Roman" w:hAnsi="Calibri" w:cs="Times New Roman"/>
          <w:color w:val="000000"/>
          <w:lang w:eastAsia="zh-CN"/>
        </w:rPr>
        <w:t>Inter Panel SDM: The access and backhaul use different panels</w:t>
      </w:r>
    </w:p>
    <w:p w14:paraId="2C3289BD" w14:textId="77777777" w:rsidR="00D220ED" w:rsidRDefault="00D220ED" w:rsidP="00D220ED">
      <w:pPr>
        <w:pStyle w:val="maintext"/>
        <w:ind w:firstLineChars="0" w:firstLine="0"/>
        <w:rPr>
          <w:rFonts w:ascii="Calibri" w:hAnsi="Calibri"/>
        </w:rPr>
      </w:pPr>
    </w:p>
    <w:p w14:paraId="48FD9201" w14:textId="2DBD50F1" w:rsidR="00D220ED" w:rsidRDefault="00D220ED" w:rsidP="00D220ED">
      <w:pPr>
        <w:pStyle w:val="maintext"/>
        <w:ind w:firstLineChars="0" w:firstLine="0"/>
        <w:rPr>
          <w:rFonts w:ascii="Calibri" w:hAnsi="Calibri"/>
        </w:rPr>
      </w:pPr>
      <w:r>
        <w:rPr>
          <w:rFonts w:ascii="Calibri" w:hAnsi="Calibri"/>
        </w:rPr>
        <w:t>TDM multiplexing is the main priority of the IAB WI, however forward compatibility towards support of FDM/SDM must also be ensured in the design of the signalling and coordination mechanisms, as shown in Figure 3 where a</w:t>
      </w:r>
      <w:r w:rsidRPr="00222811">
        <w:rPr>
          <w:rFonts w:ascii="Calibri" w:hAnsi="Calibri"/>
        </w:rPr>
        <w:t xml:space="preserve"> frame-structu</w:t>
      </w:r>
      <w:r>
        <w:rPr>
          <w:rFonts w:ascii="Calibri" w:hAnsi="Calibri"/>
        </w:rPr>
        <w:t>re across the multiple hops is</w:t>
      </w:r>
      <w:r w:rsidRPr="00222811">
        <w:rPr>
          <w:rFonts w:ascii="Calibri" w:hAnsi="Calibri"/>
        </w:rPr>
        <w:t xml:space="preserve"> staggered </w:t>
      </w:r>
      <w:r>
        <w:rPr>
          <w:rFonts w:ascii="Calibri" w:hAnsi="Calibri"/>
        </w:rPr>
        <w:t>to achieve this objective</w:t>
      </w:r>
      <w:r w:rsidRPr="00222811">
        <w:rPr>
          <w:rFonts w:ascii="Calibri" w:hAnsi="Calibri"/>
        </w:rPr>
        <w:t>.</w:t>
      </w:r>
    </w:p>
    <w:p w14:paraId="42D70C27" w14:textId="77777777" w:rsidR="00D220ED" w:rsidRPr="00222811" w:rsidRDefault="00D220ED" w:rsidP="00D220ED">
      <w:pPr>
        <w:pStyle w:val="maintext"/>
        <w:ind w:firstLineChars="0" w:firstLine="0"/>
        <w:rPr>
          <w:rFonts w:ascii="Calibri" w:hAnsi="Calibri"/>
        </w:rPr>
      </w:pPr>
    </w:p>
    <w:p w14:paraId="4EF9FB33" w14:textId="77777777" w:rsidR="00D220ED" w:rsidRDefault="00D220ED" w:rsidP="00D220ED">
      <w:pPr>
        <w:pStyle w:val="maintext"/>
        <w:ind w:firstLineChars="0" w:firstLine="0"/>
        <w:jc w:val="center"/>
        <w:rPr>
          <w:color w:val="1F497D"/>
        </w:rPr>
      </w:pPr>
      <w:r>
        <w:rPr>
          <w:noProof/>
          <w:color w:val="1F497D"/>
          <w:lang w:val="en-US" w:eastAsia="en-US"/>
        </w:rPr>
        <w:drawing>
          <wp:inline distT="0" distB="0" distL="0" distR="0" wp14:anchorId="27A962B7" wp14:editId="59AD5DD6">
            <wp:extent cx="4097545" cy="2242616"/>
            <wp:effectExtent l="0" t="0" r="5080" b="0"/>
            <wp:docPr id="8" name="Picture 8" descr="cid:image002.png@01D39440.045232F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id:image002.png@01D39440.045232F0"/>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4231291" cy="2315816"/>
                    </a:xfrm>
                    <a:prstGeom prst="rect">
                      <a:avLst/>
                    </a:prstGeom>
                    <a:noFill/>
                    <a:ln>
                      <a:noFill/>
                    </a:ln>
                  </pic:spPr>
                </pic:pic>
              </a:graphicData>
            </a:graphic>
          </wp:inline>
        </w:drawing>
      </w:r>
    </w:p>
    <w:p w14:paraId="6726B4DB" w14:textId="77777777" w:rsidR="00D220ED" w:rsidRDefault="00D220ED" w:rsidP="00D220ED">
      <w:pPr>
        <w:pStyle w:val="Caption"/>
        <w:ind w:left="720"/>
        <w:rPr>
          <w:rFonts w:ascii="Calibri" w:hAnsi="Calibri"/>
        </w:rPr>
      </w:pPr>
      <w:r w:rsidRPr="00077712">
        <w:rPr>
          <w:rFonts w:ascii="Calibri" w:hAnsi="Calibri"/>
        </w:rPr>
        <w:t xml:space="preserve">Figure </w:t>
      </w:r>
      <w:r>
        <w:rPr>
          <w:rFonts w:ascii="Calibri" w:hAnsi="Calibri"/>
        </w:rPr>
        <w:t>3</w:t>
      </w:r>
      <w:r w:rsidRPr="00077712">
        <w:rPr>
          <w:rFonts w:ascii="Calibri" w:hAnsi="Calibri"/>
        </w:rPr>
        <w:t xml:space="preserve">: </w:t>
      </w:r>
      <w:r>
        <w:rPr>
          <w:rFonts w:ascii="Calibri" w:hAnsi="Calibri"/>
        </w:rPr>
        <w:t>IAB frame structure</w:t>
      </w:r>
    </w:p>
    <w:p w14:paraId="4A8F9D74" w14:textId="77777777" w:rsidR="00DF148E" w:rsidRDefault="00D220ED" w:rsidP="00632789">
      <w:pPr>
        <w:pStyle w:val="maintext"/>
        <w:ind w:firstLineChars="0" w:firstLine="0"/>
        <w:rPr>
          <w:rFonts w:ascii="Calibri" w:hAnsi="Calibri"/>
        </w:rPr>
      </w:pPr>
      <w:r>
        <w:rPr>
          <w:rFonts w:ascii="Calibri" w:hAnsi="Calibri"/>
        </w:rPr>
        <w:lastRenderedPageBreak/>
        <w:t xml:space="preserve">The configuration of resources for IAB-MT is based on existing and enhanced RRC signalling since the Rel-15 TDD configuration framework is the baseline for IAB. However, for IAB-DUs, the configuration needs to be provided by F1 </w:t>
      </w:r>
      <w:proofErr w:type="spellStart"/>
      <w:r>
        <w:rPr>
          <w:rFonts w:ascii="Calibri" w:hAnsi="Calibri"/>
        </w:rPr>
        <w:t>signaling</w:t>
      </w:r>
      <w:proofErr w:type="spellEnd"/>
      <w:r>
        <w:rPr>
          <w:rFonts w:ascii="Calibri" w:hAnsi="Calibri"/>
        </w:rPr>
        <w:t xml:space="preserve"> instead. Since the D/U/F resources are the same for access and backhaul links, the IAB-DU resource configuration needs to support a</w:t>
      </w:r>
      <w:r w:rsidRPr="00D220ED">
        <w:rPr>
          <w:rFonts w:ascii="Calibri" w:hAnsi="Calibri"/>
        </w:rPr>
        <w:t>ll patterns, periodicities, and slot configs supported in TDD-UL-DL-Config, TDD-UL-DL-</w:t>
      </w:r>
      <w:proofErr w:type="spellStart"/>
      <w:r w:rsidRPr="00D220ED">
        <w:rPr>
          <w:rFonts w:ascii="Calibri" w:hAnsi="Calibri"/>
        </w:rPr>
        <w:t>SlotConfig</w:t>
      </w:r>
      <w:proofErr w:type="spellEnd"/>
      <w:r w:rsidRPr="00D220ED">
        <w:rPr>
          <w:rFonts w:ascii="Calibri" w:hAnsi="Calibri"/>
        </w:rPr>
        <w:t xml:space="preserve"> and Table 11.1.1-1 in TS38.213 + TBD slot formats with the sequence order UL-Flexible-DL</w:t>
      </w:r>
      <w:r>
        <w:rPr>
          <w:rFonts w:ascii="Calibri" w:hAnsi="Calibri"/>
        </w:rPr>
        <w:t xml:space="preserve">. </w:t>
      </w:r>
    </w:p>
    <w:p w14:paraId="071F8994" w14:textId="77777777" w:rsidR="00DF148E" w:rsidRDefault="00D220ED" w:rsidP="00632789">
      <w:pPr>
        <w:pStyle w:val="maintext"/>
        <w:ind w:firstLineChars="0" w:firstLine="0"/>
        <w:rPr>
          <w:rFonts w:ascii="Calibri" w:hAnsi="Calibri"/>
        </w:rPr>
      </w:pPr>
      <w:r>
        <w:rPr>
          <w:rFonts w:ascii="Calibri" w:hAnsi="Calibri"/>
        </w:rPr>
        <w:t xml:space="preserve">The </w:t>
      </w:r>
      <w:r w:rsidR="00DF148E">
        <w:rPr>
          <w:rFonts w:ascii="Calibri" w:hAnsi="Calibri"/>
        </w:rPr>
        <w:t xml:space="preserve">main </w:t>
      </w:r>
      <w:r>
        <w:rPr>
          <w:rFonts w:ascii="Calibri" w:hAnsi="Calibri"/>
        </w:rPr>
        <w:t xml:space="preserve">enhancement for IAB </w:t>
      </w:r>
      <w:r w:rsidR="00DF148E">
        <w:rPr>
          <w:rFonts w:ascii="Calibri" w:hAnsi="Calibri"/>
        </w:rPr>
        <w:t xml:space="preserve">resource allocation </w:t>
      </w:r>
      <w:r>
        <w:rPr>
          <w:rFonts w:ascii="Calibri" w:hAnsi="Calibri"/>
        </w:rPr>
        <w:t xml:space="preserve">is the introduction of hard, soft, and </w:t>
      </w:r>
      <w:r w:rsidR="00DF148E">
        <w:rPr>
          <w:rFonts w:ascii="Calibri" w:hAnsi="Calibri"/>
        </w:rPr>
        <w:t>un</w:t>
      </w:r>
      <w:r>
        <w:rPr>
          <w:rFonts w:ascii="Calibri" w:hAnsi="Calibri"/>
        </w:rPr>
        <w:t>available resources</w:t>
      </w:r>
      <w:r w:rsidR="00DF148E">
        <w:rPr>
          <w:rFonts w:ascii="Calibri" w:hAnsi="Calibri"/>
        </w:rPr>
        <w:t>. As described in the current draft CR for 38.213:</w:t>
      </w:r>
    </w:p>
    <w:p w14:paraId="38100280" w14:textId="77777777" w:rsidR="00DF148E" w:rsidRDefault="00DF148E" w:rsidP="00DF148E">
      <w:pPr>
        <w:pStyle w:val="maintext"/>
        <w:ind w:left="720" w:firstLineChars="0" w:firstLine="0"/>
        <w:rPr>
          <w:rFonts w:ascii="Calibri" w:hAnsi="Calibri"/>
        </w:rPr>
      </w:pPr>
      <w:r w:rsidRPr="009861A4">
        <w:rPr>
          <w:rFonts w:eastAsia="SimSun"/>
          <w:lang w:eastAsia="zh-CN"/>
        </w:rPr>
        <w:t>With reference to slots of an IAB-node DU</w:t>
      </w:r>
      <w:r>
        <w:rPr>
          <w:rFonts w:eastAsia="SimSun"/>
          <w:lang w:eastAsia="zh-CN"/>
        </w:rPr>
        <w:t xml:space="preserve"> cell</w:t>
      </w:r>
      <w:r w:rsidRPr="009861A4">
        <w:rPr>
          <w:rFonts w:eastAsia="SimSun"/>
          <w:lang w:eastAsia="zh-CN"/>
        </w:rPr>
        <w:t xml:space="preserve">, a symbol in a slot of an IAB-node DU </w:t>
      </w:r>
      <w:r>
        <w:rPr>
          <w:rFonts w:eastAsia="SimSun"/>
          <w:lang w:eastAsia="zh-CN"/>
        </w:rPr>
        <w:t xml:space="preserve">cell </w:t>
      </w:r>
      <w:r w:rsidRPr="009861A4">
        <w:rPr>
          <w:rFonts w:eastAsia="SimSun"/>
          <w:lang w:eastAsia="zh-CN"/>
        </w:rPr>
        <w:t xml:space="preserve">can be </w:t>
      </w:r>
      <w:r>
        <w:rPr>
          <w:rFonts w:eastAsia="SimSun"/>
          <w:lang w:eastAsia="zh-CN"/>
        </w:rPr>
        <w:t>configured</w:t>
      </w:r>
      <w:r w:rsidRPr="009861A4">
        <w:rPr>
          <w:rFonts w:eastAsia="SimSun"/>
          <w:lang w:eastAsia="zh-CN"/>
        </w:rPr>
        <w:t xml:space="preserve"> to be of hard, soft, or unavailable type. </w:t>
      </w:r>
      <w:r w:rsidRPr="009861A4">
        <w:t xml:space="preserve">When a downlink, uplink, or flexible symbol is </w:t>
      </w:r>
      <w:r>
        <w:t>configured</w:t>
      </w:r>
      <w:r w:rsidRPr="009861A4">
        <w:t xml:space="preserve"> as hard, the IAB-node DU can respectively transmit, receive, or either transmit or receive in the symbol. When a downlink, uplink, or flexible symbol is </w:t>
      </w:r>
      <w:r>
        <w:t>configured</w:t>
      </w:r>
      <w:r w:rsidRPr="009861A4">
        <w:t xml:space="preserve"> as soft, the IAB-node DU can respectively transmit, receive or either transmit or receive in the symbol only if the symbol is also </w:t>
      </w:r>
      <w:r>
        <w:t>determined</w:t>
      </w:r>
      <w:r w:rsidRPr="009861A4">
        <w:t xml:space="preserve"> </w:t>
      </w:r>
      <w:r>
        <w:t>to be</w:t>
      </w:r>
      <w:r w:rsidRPr="009861A4">
        <w:t xml:space="preserve"> available. When a symbol is </w:t>
      </w:r>
      <w:r>
        <w:t>configured</w:t>
      </w:r>
      <w:r w:rsidRPr="009861A4">
        <w:t xml:space="preserve"> as unavailable, the IAB-node DU neither transmits nor receives in the symbol. </w:t>
      </w:r>
      <w:r>
        <w:rPr>
          <w:rFonts w:ascii="Calibri" w:hAnsi="Calibri"/>
        </w:rPr>
        <w:t xml:space="preserve"> </w:t>
      </w:r>
    </w:p>
    <w:p w14:paraId="3648C783" w14:textId="77777777" w:rsidR="00D220ED" w:rsidRDefault="00D220ED" w:rsidP="00632789">
      <w:pPr>
        <w:pStyle w:val="maintext"/>
        <w:ind w:firstLineChars="0" w:firstLine="0"/>
        <w:rPr>
          <w:rFonts w:ascii="Calibri" w:hAnsi="Calibri"/>
        </w:rPr>
      </w:pPr>
    </w:p>
    <w:p w14:paraId="6683BCE4" w14:textId="613E6DEE" w:rsidR="007C350F" w:rsidRDefault="00DF148E" w:rsidP="00632789">
      <w:pPr>
        <w:pStyle w:val="maintext"/>
        <w:ind w:firstLineChars="0" w:firstLine="0"/>
        <w:rPr>
          <w:rFonts w:ascii="Calibri" w:hAnsi="Calibri"/>
        </w:rPr>
      </w:pPr>
      <w:r>
        <w:rPr>
          <w:rFonts w:ascii="Calibri" w:hAnsi="Calibri"/>
        </w:rPr>
        <w:t>To provide the D/U/F and H/S/NA configurations</w:t>
      </w:r>
      <w:r w:rsidR="00D220ED">
        <w:rPr>
          <w:rFonts w:ascii="Calibri" w:hAnsi="Calibri"/>
        </w:rPr>
        <w:t xml:space="preserve"> </w:t>
      </w:r>
      <w:r>
        <w:rPr>
          <w:rFonts w:ascii="Calibri" w:hAnsi="Calibri"/>
        </w:rPr>
        <w:t xml:space="preserve">for the IAB-DU resource allocation, </w:t>
      </w:r>
      <w:r w:rsidR="00D220ED">
        <w:rPr>
          <w:rFonts w:ascii="Calibri" w:hAnsi="Calibri"/>
        </w:rPr>
        <w:t>the following upper layer parameter</w:t>
      </w:r>
      <w:r>
        <w:rPr>
          <w:rFonts w:ascii="Calibri" w:hAnsi="Calibri"/>
        </w:rPr>
        <w:t xml:space="preserve"> was agreed for F1-AP signalling from the Donor CU to a Donor DU or IAB-DU</w:t>
      </w:r>
      <w:r w:rsidR="00DB39E4">
        <w:rPr>
          <w:rFonts w:ascii="Calibri" w:hAnsi="Calibri"/>
        </w:rPr>
        <w:t xml:space="preserve"> [2]</w:t>
      </w:r>
      <w:r w:rsidR="00D220ED">
        <w:rPr>
          <w:rFonts w:ascii="Calibri" w:hAnsi="Calibri"/>
        </w:rPr>
        <w:t>:</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0"/>
        <w:gridCol w:w="2160"/>
        <w:gridCol w:w="1800"/>
        <w:gridCol w:w="2070"/>
        <w:gridCol w:w="1134"/>
      </w:tblGrid>
      <w:tr w:rsidR="00DF148E" w:rsidRPr="006A6944" w14:paraId="3400D901" w14:textId="77777777" w:rsidTr="00DF148E">
        <w:trPr>
          <w:trHeight w:val="400"/>
          <w:jc w:val="center"/>
        </w:trPr>
        <w:tc>
          <w:tcPr>
            <w:tcW w:w="1620" w:type="dxa"/>
            <w:shd w:val="clear" w:color="auto" w:fill="DEEAF6" w:themeFill="accent1" w:themeFillTint="33"/>
            <w:noWrap/>
            <w:vAlign w:val="center"/>
          </w:tcPr>
          <w:p w14:paraId="17024B12" w14:textId="77777777" w:rsidR="00DF148E" w:rsidRPr="006A6944" w:rsidRDefault="00DF148E" w:rsidP="00C974DD">
            <w:pPr>
              <w:spacing w:after="0"/>
              <w:jc w:val="center"/>
              <w:rPr>
                <w:rFonts w:ascii="Times New Roman" w:hAnsi="Times New Roman"/>
                <w:b/>
                <w:bCs/>
                <w:sz w:val="16"/>
                <w:szCs w:val="16"/>
              </w:rPr>
            </w:pPr>
            <w:r w:rsidRPr="006A6944">
              <w:rPr>
                <w:rFonts w:ascii="Times New Roman" w:hAnsi="Times New Roman"/>
                <w:b/>
                <w:bCs/>
                <w:sz w:val="16"/>
                <w:szCs w:val="16"/>
              </w:rPr>
              <w:t>New or existing parameter</w:t>
            </w:r>
          </w:p>
        </w:tc>
        <w:tc>
          <w:tcPr>
            <w:tcW w:w="2160" w:type="dxa"/>
            <w:shd w:val="clear" w:color="auto" w:fill="DEEAF6" w:themeFill="accent1" w:themeFillTint="33"/>
            <w:noWrap/>
            <w:vAlign w:val="center"/>
          </w:tcPr>
          <w:p w14:paraId="4E06B0B4" w14:textId="77777777" w:rsidR="00DF148E" w:rsidRPr="006A6944" w:rsidRDefault="00DF148E" w:rsidP="00C974DD">
            <w:pPr>
              <w:spacing w:after="0"/>
              <w:jc w:val="center"/>
              <w:rPr>
                <w:rFonts w:ascii="Times New Roman" w:hAnsi="Times New Roman"/>
                <w:b/>
                <w:bCs/>
                <w:sz w:val="16"/>
                <w:szCs w:val="16"/>
              </w:rPr>
            </w:pPr>
            <w:r w:rsidRPr="006A6944">
              <w:rPr>
                <w:rFonts w:ascii="Times New Roman" w:hAnsi="Times New Roman"/>
                <w:b/>
                <w:bCs/>
                <w:sz w:val="16"/>
                <w:szCs w:val="16"/>
              </w:rPr>
              <w:t>Parameter name in specification</w:t>
            </w:r>
          </w:p>
        </w:tc>
        <w:tc>
          <w:tcPr>
            <w:tcW w:w="1800" w:type="dxa"/>
            <w:shd w:val="clear" w:color="auto" w:fill="DEEAF6" w:themeFill="accent1" w:themeFillTint="33"/>
            <w:vAlign w:val="center"/>
          </w:tcPr>
          <w:p w14:paraId="71B5C7F3" w14:textId="77777777" w:rsidR="00DF148E" w:rsidRPr="006A6944" w:rsidRDefault="00DF148E" w:rsidP="00C974DD">
            <w:pPr>
              <w:spacing w:after="0"/>
              <w:jc w:val="center"/>
              <w:rPr>
                <w:rFonts w:ascii="Times New Roman" w:hAnsi="Times New Roman"/>
                <w:b/>
                <w:bCs/>
                <w:sz w:val="16"/>
                <w:szCs w:val="16"/>
              </w:rPr>
            </w:pPr>
            <w:r w:rsidRPr="006A6944">
              <w:rPr>
                <w:rFonts w:ascii="Times New Roman" w:hAnsi="Times New Roman"/>
                <w:b/>
                <w:bCs/>
                <w:sz w:val="16"/>
                <w:szCs w:val="16"/>
              </w:rPr>
              <w:t>Description</w:t>
            </w:r>
          </w:p>
        </w:tc>
        <w:tc>
          <w:tcPr>
            <w:tcW w:w="2070" w:type="dxa"/>
            <w:shd w:val="clear" w:color="auto" w:fill="DEEAF6" w:themeFill="accent1" w:themeFillTint="33"/>
            <w:noWrap/>
            <w:vAlign w:val="center"/>
          </w:tcPr>
          <w:p w14:paraId="65C497F5" w14:textId="77777777" w:rsidR="00DF148E" w:rsidRPr="006A6944" w:rsidRDefault="00DF148E" w:rsidP="00C974DD">
            <w:pPr>
              <w:spacing w:after="0"/>
              <w:jc w:val="center"/>
              <w:rPr>
                <w:rFonts w:ascii="Times New Roman" w:hAnsi="Times New Roman"/>
                <w:b/>
                <w:bCs/>
                <w:sz w:val="16"/>
                <w:szCs w:val="16"/>
              </w:rPr>
            </w:pPr>
            <w:r w:rsidRPr="006A6944">
              <w:rPr>
                <w:rFonts w:ascii="Times New Roman" w:hAnsi="Times New Roman"/>
                <w:b/>
                <w:bCs/>
                <w:sz w:val="16"/>
                <w:szCs w:val="16"/>
              </w:rPr>
              <w:t>Value range</w:t>
            </w:r>
          </w:p>
        </w:tc>
        <w:tc>
          <w:tcPr>
            <w:tcW w:w="1134" w:type="dxa"/>
            <w:shd w:val="clear" w:color="auto" w:fill="DEEAF6" w:themeFill="accent1" w:themeFillTint="33"/>
            <w:vAlign w:val="center"/>
          </w:tcPr>
          <w:p w14:paraId="0CABC067" w14:textId="77777777" w:rsidR="00DF148E" w:rsidRPr="006A6944" w:rsidRDefault="00DF148E" w:rsidP="00C974DD">
            <w:pPr>
              <w:spacing w:after="0"/>
              <w:jc w:val="center"/>
              <w:rPr>
                <w:rFonts w:ascii="Times New Roman" w:hAnsi="Times New Roman"/>
                <w:b/>
                <w:bCs/>
                <w:sz w:val="16"/>
                <w:szCs w:val="16"/>
              </w:rPr>
            </w:pPr>
            <w:r>
              <w:rPr>
                <w:rFonts w:ascii="Times New Roman" w:hAnsi="Times New Roman"/>
                <w:b/>
                <w:bCs/>
                <w:sz w:val="16"/>
                <w:szCs w:val="16"/>
              </w:rPr>
              <w:t>IAB node</w:t>
            </w:r>
            <w:r w:rsidRPr="006A6944">
              <w:rPr>
                <w:rFonts w:ascii="Times New Roman" w:hAnsi="Times New Roman"/>
                <w:b/>
                <w:bCs/>
                <w:sz w:val="16"/>
                <w:szCs w:val="16"/>
              </w:rPr>
              <w:t xml:space="preserve"> specific/</w:t>
            </w:r>
            <w:r>
              <w:rPr>
                <w:rFonts w:ascii="Times New Roman" w:hAnsi="Times New Roman"/>
                <w:b/>
                <w:bCs/>
                <w:sz w:val="16"/>
                <w:szCs w:val="16"/>
              </w:rPr>
              <w:t>IAB nodes common</w:t>
            </w:r>
          </w:p>
        </w:tc>
      </w:tr>
      <w:tr w:rsidR="00DF148E" w:rsidRPr="00522E4F" w14:paraId="4F724B57" w14:textId="77777777" w:rsidTr="00DF148E">
        <w:trPr>
          <w:trHeight w:val="400"/>
          <w:jc w:val="center"/>
        </w:trPr>
        <w:tc>
          <w:tcPr>
            <w:tcW w:w="1620" w:type="dxa"/>
            <w:shd w:val="clear" w:color="auto" w:fill="auto"/>
            <w:noWrap/>
            <w:vAlign w:val="center"/>
          </w:tcPr>
          <w:p w14:paraId="1F91CDF0" w14:textId="77777777" w:rsidR="00DF148E" w:rsidRPr="006A6944" w:rsidRDefault="00DF148E" w:rsidP="00DF148E">
            <w:pPr>
              <w:spacing w:after="0"/>
              <w:jc w:val="center"/>
              <w:rPr>
                <w:rFonts w:ascii="Times New Roman" w:hAnsi="Times New Roman"/>
                <w:sz w:val="16"/>
                <w:szCs w:val="16"/>
                <w:lang w:eastAsia="zh-CN"/>
              </w:rPr>
            </w:pPr>
            <w:r w:rsidRPr="006A6944">
              <w:rPr>
                <w:rFonts w:ascii="Times New Roman" w:hAnsi="Times New Roman"/>
                <w:sz w:val="16"/>
                <w:szCs w:val="16"/>
                <w:lang w:eastAsia="zh-CN"/>
              </w:rPr>
              <w:t>New</w:t>
            </w:r>
          </w:p>
        </w:tc>
        <w:tc>
          <w:tcPr>
            <w:tcW w:w="2160" w:type="dxa"/>
            <w:shd w:val="clear" w:color="auto" w:fill="auto"/>
            <w:noWrap/>
            <w:vAlign w:val="center"/>
          </w:tcPr>
          <w:p w14:paraId="37962A1C" w14:textId="77777777" w:rsidR="00DF148E" w:rsidRPr="006A6944" w:rsidRDefault="00DF148E" w:rsidP="00DF148E">
            <w:pPr>
              <w:spacing w:after="0"/>
              <w:jc w:val="center"/>
              <w:rPr>
                <w:rStyle w:val="fontstyle01"/>
                <w:i w:val="0"/>
                <w:sz w:val="16"/>
                <w:szCs w:val="16"/>
                <w:lang w:eastAsia="zh-CN"/>
              </w:rPr>
            </w:pPr>
            <w:r w:rsidRPr="005D6D9A">
              <w:rPr>
                <w:rStyle w:val="fontstyle01"/>
                <w:sz w:val="16"/>
                <w:szCs w:val="16"/>
                <w:lang w:eastAsia="zh-CN"/>
              </w:rPr>
              <w:t>IAB-DU Resource Configuration</w:t>
            </w:r>
            <w:r>
              <w:rPr>
                <w:rStyle w:val="fontstyle01"/>
                <w:i w:val="0"/>
                <w:sz w:val="16"/>
                <w:szCs w:val="16"/>
                <w:lang w:eastAsia="zh-CN"/>
              </w:rPr>
              <w:t xml:space="preserve"> </w:t>
            </w:r>
            <w:r>
              <w:rPr>
                <w:rFonts w:ascii="Times New Roman" w:hAnsi="Times New Roman"/>
                <w:sz w:val="16"/>
                <w:szCs w:val="16"/>
              </w:rPr>
              <w:t>(name in specification to be determined by RAN2/3)</w:t>
            </w:r>
          </w:p>
        </w:tc>
        <w:tc>
          <w:tcPr>
            <w:tcW w:w="1800" w:type="dxa"/>
            <w:shd w:val="clear" w:color="auto" w:fill="auto"/>
            <w:vAlign w:val="center"/>
          </w:tcPr>
          <w:p w14:paraId="16DA374F" w14:textId="77777777" w:rsidR="00DF148E" w:rsidRPr="006A6944" w:rsidRDefault="00DF148E" w:rsidP="00DF148E">
            <w:pPr>
              <w:spacing w:after="0"/>
              <w:rPr>
                <w:rFonts w:ascii="Times New Roman" w:hAnsi="Times New Roman"/>
                <w:sz w:val="16"/>
                <w:szCs w:val="16"/>
                <w:lang w:eastAsia="zh-CN"/>
              </w:rPr>
            </w:pPr>
            <w:r>
              <w:rPr>
                <w:rFonts w:ascii="Times New Roman" w:hAnsi="Times New Roman"/>
                <w:sz w:val="16"/>
                <w:szCs w:val="16"/>
              </w:rPr>
              <w:t xml:space="preserve">Per-cell D/U/F resource type configuration </w:t>
            </w:r>
            <w:r w:rsidRPr="009B3740">
              <w:rPr>
                <w:rFonts w:ascii="Times New Roman" w:hAnsi="Times New Roman"/>
                <w:sz w:val="16"/>
                <w:szCs w:val="16"/>
              </w:rPr>
              <w:t>+ H/S/NA attributes per-resource type</w:t>
            </w:r>
          </w:p>
        </w:tc>
        <w:tc>
          <w:tcPr>
            <w:tcW w:w="2070" w:type="dxa"/>
            <w:shd w:val="clear" w:color="auto" w:fill="auto"/>
            <w:noWrap/>
            <w:vAlign w:val="center"/>
          </w:tcPr>
          <w:p w14:paraId="4C88A1F2" w14:textId="77777777" w:rsidR="00DF148E" w:rsidRPr="006A6944" w:rsidRDefault="00DF148E" w:rsidP="00DF148E">
            <w:pPr>
              <w:spacing w:after="0"/>
              <w:jc w:val="center"/>
              <w:rPr>
                <w:rFonts w:ascii="Times New Roman" w:hAnsi="Times New Roman"/>
                <w:sz w:val="16"/>
                <w:szCs w:val="16"/>
              </w:rPr>
            </w:pPr>
            <w:r>
              <w:rPr>
                <w:rFonts w:ascii="Times New Roman" w:hAnsi="Times New Roman"/>
                <w:sz w:val="16"/>
                <w:szCs w:val="16"/>
              </w:rPr>
              <w:t xml:space="preserve">All patterns, periodicities, and slot configs supported in </w:t>
            </w:r>
            <w:r w:rsidRPr="00CA387D">
              <w:rPr>
                <w:rFonts w:ascii="Times New Roman" w:hAnsi="Times New Roman"/>
                <w:sz w:val="16"/>
                <w:szCs w:val="16"/>
              </w:rPr>
              <w:t>TDD-UL-DL-Config</w:t>
            </w:r>
            <w:r>
              <w:rPr>
                <w:rFonts w:ascii="Times New Roman" w:hAnsi="Times New Roman"/>
                <w:sz w:val="16"/>
                <w:szCs w:val="16"/>
              </w:rPr>
              <w:t xml:space="preserve">, </w:t>
            </w:r>
            <w:r w:rsidRPr="00CA387D">
              <w:rPr>
                <w:rFonts w:ascii="Times New Roman" w:hAnsi="Times New Roman"/>
                <w:sz w:val="16"/>
                <w:szCs w:val="16"/>
              </w:rPr>
              <w:t>TDD-UL-DL-</w:t>
            </w:r>
            <w:proofErr w:type="spellStart"/>
            <w:r w:rsidRPr="00CA387D">
              <w:rPr>
                <w:rFonts w:ascii="Times New Roman" w:hAnsi="Times New Roman"/>
                <w:sz w:val="16"/>
                <w:szCs w:val="16"/>
              </w:rPr>
              <w:t>SlotConfig</w:t>
            </w:r>
            <w:proofErr w:type="spellEnd"/>
            <w:r>
              <w:rPr>
                <w:rFonts w:ascii="Times New Roman" w:hAnsi="Times New Roman"/>
                <w:sz w:val="16"/>
                <w:szCs w:val="16"/>
              </w:rPr>
              <w:t xml:space="preserve"> and </w:t>
            </w:r>
            <w:r w:rsidRPr="00D800D8">
              <w:rPr>
                <w:rFonts w:ascii="Times New Roman" w:hAnsi="Times New Roman"/>
                <w:sz w:val="16"/>
                <w:szCs w:val="16"/>
              </w:rPr>
              <w:t>Table 11.1.1-1 in TS38.213</w:t>
            </w:r>
            <w:r>
              <w:rPr>
                <w:rFonts w:ascii="Times New Roman" w:hAnsi="Times New Roman"/>
                <w:sz w:val="16"/>
                <w:szCs w:val="16"/>
              </w:rPr>
              <w:t xml:space="preserve"> </w:t>
            </w:r>
            <w:r w:rsidRPr="00BD3B01">
              <w:rPr>
                <w:rFonts w:ascii="Times New Roman" w:hAnsi="Times New Roman"/>
                <w:sz w:val="16"/>
                <w:szCs w:val="16"/>
              </w:rPr>
              <w:t>+ TBD slot formats with the sequence order UL-Flexible-DL</w:t>
            </w:r>
          </w:p>
        </w:tc>
        <w:tc>
          <w:tcPr>
            <w:tcW w:w="1134" w:type="dxa"/>
            <w:shd w:val="clear" w:color="auto" w:fill="auto"/>
            <w:vAlign w:val="center"/>
          </w:tcPr>
          <w:p w14:paraId="5E892C38" w14:textId="77777777" w:rsidR="00DF148E" w:rsidRPr="00522E4F" w:rsidRDefault="00DF148E" w:rsidP="00DF148E">
            <w:pPr>
              <w:spacing w:after="0"/>
              <w:jc w:val="center"/>
              <w:rPr>
                <w:rFonts w:ascii="Times New Roman" w:hAnsi="Times New Roman"/>
                <w:bCs/>
                <w:sz w:val="16"/>
                <w:szCs w:val="16"/>
              </w:rPr>
            </w:pPr>
            <w:r w:rsidRPr="00522E4F">
              <w:rPr>
                <w:rFonts w:ascii="Times New Roman" w:hAnsi="Times New Roman"/>
                <w:bCs/>
                <w:sz w:val="16"/>
                <w:szCs w:val="16"/>
              </w:rPr>
              <w:t>IAB node specific</w:t>
            </w:r>
          </w:p>
        </w:tc>
      </w:tr>
    </w:tbl>
    <w:p w14:paraId="66F264D2" w14:textId="05FED604" w:rsidR="00FC5269" w:rsidRDefault="00DF148E" w:rsidP="00FC5269">
      <w:pPr>
        <w:pStyle w:val="maintext"/>
        <w:ind w:firstLineChars="0" w:firstLine="0"/>
        <w:rPr>
          <w:rFonts w:ascii="Calibri" w:hAnsi="Calibri"/>
          <w:b/>
        </w:rPr>
      </w:pPr>
      <w:r>
        <w:rPr>
          <w:rFonts w:ascii="Calibri" w:hAnsi="Calibri"/>
          <w:b/>
        </w:rPr>
        <w:t xml:space="preserve"> </w:t>
      </w:r>
    </w:p>
    <w:p w14:paraId="290A47C5" w14:textId="7D70F51D" w:rsidR="00245C2C" w:rsidRDefault="00DF148E" w:rsidP="00FC5269">
      <w:pPr>
        <w:pStyle w:val="maintext"/>
        <w:ind w:firstLineChars="0" w:firstLine="0"/>
        <w:rPr>
          <w:rFonts w:ascii="Calibri" w:hAnsi="Calibri"/>
          <w:bCs/>
        </w:rPr>
      </w:pPr>
      <w:r>
        <w:rPr>
          <w:rFonts w:ascii="Calibri" w:hAnsi="Calibri"/>
          <w:bCs/>
        </w:rPr>
        <w:t>While the RAN1 agreed principle that the resource type (D/U/F) and resource attribute (H/S/NA) are configured relative to each other, the exact signalling details are left to RAN3 to define. One option is for the D/U/F and H/S/NA configurations indicated jointly and if there is any update (e.g. due to changes in the topology or system capacity), both the configuration</w:t>
      </w:r>
      <w:r w:rsidR="004F0291">
        <w:rPr>
          <w:rFonts w:ascii="Calibri" w:hAnsi="Calibri"/>
          <w:bCs/>
        </w:rPr>
        <w:t>s are provided to the IAB-DU. However, there may be scenarios where the possibility to provide independent updates of the D/U/F or H/S/NA configurations is beneficial. For example, the D/U/F configuration is highly correlated with the TDD configurations required for the access UEs and the semi-static configurations related to control signalling and therefore may not change very frequently. However, the H/S/NA configuration is more related to the ability to dynamically adapt the available resources within an IAB node based on the current backhaul traffic. For example, the network may configure a large percentage of soft resources, corresponding to the slots where the IAB-MT can be potentially scheduled. If the backhaul traffic is heavy, the soft resources are not indicated as available and cannot be used by the IAB-DU. However, if the backhaul traffic is light, the IAB node can dynamically utilize them when available, improving the overall resource utilization without requiring the underlying TDD ratio used by the network to be changed. This decoupling of the D/U/F and H/S/NA configuration can be achieved by separate messages for signalling the overall IAB-DU resource configuration, or optional IEs within the message and details can be further decided by RAN3.</w:t>
      </w:r>
    </w:p>
    <w:p w14:paraId="71784727" w14:textId="7FD65EFC" w:rsidR="00DB39E4" w:rsidRDefault="00DB39E4" w:rsidP="00FC5269">
      <w:pPr>
        <w:pStyle w:val="maintext"/>
        <w:ind w:firstLineChars="0" w:firstLine="0"/>
        <w:rPr>
          <w:rFonts w:ascii="Calibri" w:hAnsi="Calibri"/>
          <w:bCs/>
        </w:rPr>
      </w:pPr>
      <w:r>
        <w:rPr>
          <w:rFonts w:ascii="Calibri" w:hAnsi="Calibri"/>
          <w:bCs/>
        </w:rPr>
        <w:t>In addition, depending on the size of the topology (e.g. number of hops/child nodes) and traffic load, different configuration periods and granularity of the resource patterns for the IAB-DU resource configuration may be desired. As a result, the F1 signalling design should support configurability of the period duration and granularity of the D/U/F and H/S/NA patterns.</w:t>
      </w:r>
    </w:p>
    <w:p w14:paraId="57080FA7" w14:textId="0593E3B4" w:rsidR="004F0291" w:rsidRPr="004F0291" w:rsidRDefault="004F0291" w:rsidP="00FC5269">
      <w:pPr>
        <w:pStyle w:val="maintext"/>
        <w:ind w:firstLineChars="0" w:firstLine="0"/>
        <w:rPr>
          <w:rFonts w:ascii="Calibri" w:hAnsi="Calibri"/>
          <w:b/>
        </w:rPr>
      </w:pPr>
      <w:r>
        <w:rPr>
          <w:rFonts w:ascii="Calibri" w:hAnsi="Calibri"/>
          <w:b/>
        </w:rPr>
        <w:t xml:space="preserve">Proposal 1: </w:t>
      </w:r>
      <w:r w:rsidR="00C974DD">
        <w:rPr>
          <w:rFonts w:ascii="Calibri" w:hAnsi="Calibri"/>
          <w:b/>
        </w:rPr>
        <w:t xml:space="preserve">The IAB-DU Resource Configuration provided by F1 </w:t>
      </w:r>
      <w:proofErr w:type="spellStart"/>
      <w:r w:rsidR="00C974DD">
        <w:rPr>
          <w:rFonts w:ascii="Calibri" w:hAnsi="Calibri"/>
          <w:b/>
        </w:rPr>
        <w:t>signaling</w:t>
      </w:r>
      <w:proofErr w:type="spellEnd"/>
      <w:r w:rsidR="00C974DD">
        <w:rPr>
          <w:rFonts w:ascii="Calibri" w:hAnsi="Calibri"/>
          <w:b/>
        </w:rPr>
        <w:t xml:space="preserve"> from the Donor CU to a Donor DU or IAB-DU should support independent configuration of the D/U/F resources and H/S/NA attributes</w:t>
      </w:r>
      <w:r w:rsidR="00DB39E4">
        <w:rPr>
          <w:rFonts w:ascii="Calibri" w:hAnsi="Calibri"/>
          <w:b/>
        </w:rPr>
        <w:t xml:space="preserve"> with multiple configuration periods and pattern granularities.</w:t>
      </w:r>
      <w:r w:rsidR="00C974DD">
        <w:rPr>
          <w:rFonts w:ascii="Calibri" w:hAnsi="Calibri"/>
          <w:b/>
        </w:rPr>
        <w:t xml:space="preserve"> </w:t>
      </w:r>
    </w:p>
    <w:p w14:paraId="763666B9" w14:textId="77777777" w:rsidR="007338D6" w:rsidRPr="00172743" w:rsidRDefault="003A566A" w:rsidP="00326FF6">
      <w:pPr>
        <w:pStyle w:val="Heading1"/>
      </w:pPr>
      <w:r w:rsidRPr="00172743">
        <w:lastRenderedPageBreak/>
        <w:t>Conclusion</w:t>
      </w:r>
    </w:p>
    <w:p w14:paraId="5E211EAC" w14:textId="5D5FC46D" w:rsidR="00245C2C" w:rsidRPr="00245C2C" w:rsidRDefault="00843F1C" w:rsidP="00245C2C">
      <w:pPr>
        <w:spacing w:before="0" w:after="0"/>
        <w:rPr>
          <w:rFonts w:ascii="Calibri" w:hAnsi="Calibri"/>
        </w:rPr>
      </w:pPr>
      <w:r>
        <w:rPr>
          <w:rFonts w:ascii="Calibri" w:hAnsi="Calibri"/>
        </w:rPr>
        <w:t>Th</w:t>
      </w:r>
      <w:r w:rsidR="00F35911">
        <w:rPr>
          <w:rFonts w:ascii="Calibri" w:hAnsi="Calibri"/>
        </w:rPr>
        <w:t>is</w:t>
      </w:r>
      <w:r>
        <w:rPr>
          <w:rFonts w:ascii="Calibri" w:hAnsi="Calibri"/>
        </w:rPr>
        <w:t xml:space="preserve"> contribution analyzed </w:t>
      </w:r>
      <w:r w:rsidR="00DB39E4">
        <w:rPr>
          <w:rFonts w:ascii="Calibri" w:hAnsi="Calibri"/>
        </w:rPr>
        <w:t xml:space="preserve">the required signaling </w:t>
      </w:r>
      <w:r w:rsidR="00DD3971">
        <w:rPr>
          <w:rFonts w:ascii="Calibri" w:hAnsi="Calibri"/>
        </w:rPr>
        <w:t>for</w:t>
      </w:r>
      <w:r w:rsidR="003A553B">
        <w:rPr>
          <w:rFonts w:ascii="Calibri" w:hAnsi="Calibri"/>
        </w:rPr>
        <w:t xml:space="preserve"> </w:t>
      </w:r>
      <w:r w:rsidR="00C724F1">
        <w:rPr>
          <w:rFonts w:ascii="Calibri" w:hAnsi="Calibri"/>
        </w:rPr>
        <w:t>IAB</w:t>
      </w:r>
      <w:r w:rsidR="00DB39E4">
        <w:rPr>
          <w:rFonts w:ascii="Calibri" w:hAnsi="Calibri"/>
        </w:rPr>
        <w:t>-DU</w:t>
      </w:r>
      <w:r w:rsidR="00C36905">
        <w:rPr>
          <w:rFonts w:ascii="Calibri" w:hAnsi="Calibri"/>
        </w:rPr>
        <w:t xml:space="preserve"> </w:t>
      </w:r>
      <w:r w:rsidR="00DB39E4">
        <w:rPr>
          <w:rFonts w:ascii="Calibri" w:hAnsi="Calibri"/>
        </w:rPr>
        <w:t>resource configurations</w:t>
      </w:r>
      <w:r w:rsidR="00E604D6">
        <w:rPr>
          <w:rFonts w:ascii="Calibri" w:hAnsi="Calibri"/>
        </w:rPr>
        <w:t>. The following proposal w</w:t>
      </w:r>
      <w:r w:rsidR="00DB39E4">
        <w:rPr>
          <w:rFonts w:ascii="Calibri" w:hAnsi="Calibri"/>
        </w:rPr>
        <w:t>as</w:t>
      </w:r>
      <w:r w:rsidR="00E604D6">
        <w:rPr>
          <w:rFonts w:ascii="Calibri" w:hAnsi="Calibri"/>
        </w:rPr>
        <w:t xml:space="preserve"> made</w:t>
      </w:r>
      <w:r>
        <w:rPr>
          <w:rFonts w:ascii="Calibri" w:hAnsi="Calibri"/>
        </w:rPr>
        <w:t>:</w:t>
      </w:r>
    </w:p>
    <w:p w14:paraId="5908E8ED" w14:textId="77777777" w:rsidR="00DB39E4" w:rsidRPr="004F0291" w:rsidRDefault="00DB39E4" w:rsidP="00DB39E4">
      <w:pPr>
        <w:pStyle w:val="maintext"/>
        <w:ind w:firstLineChars="0" w:firstLine="0"/>
        <w:rPr>
          <w:rFonts w:ascii="Calibri" w:hAnsi="Calibri"/>
          <w:b/>
        </w:rPr>
      </w:pPr>
      <w:r>
        <w:rPr>
          <w:rFonts w:ascii="Calibri" w:hAnsi="Calibri"/>
          <w:b/>
        </w:rPr>
        <w:t xml:space="preserve">Proposal 1: The IAB-DU Resource Configuration provided by F1 </w:t>
      </w:r>
      <w:proofErr w:type="spellStart"/>
      <w:r>
        <w:rPr>
          <w:rFonts w:ascii="Calibri" w:hAnsi="Calibri"/>
          <w:b/>
        </w:rPr>
        <w:t>signaling</w:t>
      </w:r>
      <w:proofErr w:type="spellEnd"/>
      <w:r>
        <w:rPr>
          <w:rFonts w:ascii="Calibri" w:hAnsi="Calibri"/>
          <w:b/>
        </w:rPr>
        <w:t xml:space="preserve"> from the Donor CU to a Donor DU or IAB-DU should support independent configuration of the D/U/F resources and H/S/NA attributes with multiple configuration periods and pattern granularities. </w:t>
      </w:r>
    </w:p>
    <w:p w14:paraId="4CAEFFED" w14:textId="3D493A66" w:rsidR="00FE6C15" w:rsidRPr="0076067D" w:rsidRDefault="00FE6C15" w:rsidP="0076067D">
      <w:pPr>
        <w:pStyle w:val="Heading1"/>
      </w:pPr>
      <w:r>
        <w:t>Reference</w:t>
      </w:r>
      <w:r w:rsidR="00245C2C">
        <w:t>s</w:t>
      </w:r>
    </w:p>
    <w:p w14:paraId="709CF5C5" w14:textId="77777777" w:rsidR="008F676A" w:rsidRDefault="008F676A" w:rsidP="008F676A">
      <w:pPr>
        <w:pStyle w:val="2222"/>
        <w:spacing w:after="120" w:line="288" w:lineRule="auto"/>
        <w:ind w:firstLineChars="0" w:firstLine="0"/>
        <w:jc w:val="left"/>
        <w:rPr>
          <w:rFonts w:cs="Times New Roman"/>
          <w:lang w:eastAsia="ko-KR"/>
        </w:rPr>
      </w:pPr>
      <w:bookmarkStart w:id="3" w:name="_Hlk534835874"/>
      <w:r>
        <w:rPr>
          <w:rFonts w:cs="Times New Roman"/>
          <w:lang w:eastAsia="ko-KR"/>
        </w:rPr>
        <w:t xml:space="preserve">[1] RP-182882, </w:t>
      </w:r>
      <w:r w:rsidRPr="004131D6">
        <w:rPr>
          <w:rFonts w:cs="Times New Roman"/>
          <w:lang w:eastAsia="ko-KR"/>
        </w:rPr>
        <w:t>New WID: Integrated Access and Backhaul for NR</w:t>
      </w:r>
      <w:r>
        <w:rPr>
          <w:rFonts w:cs="Times New Roman"/>
          <w:lang w:eastAsia="ko-KR"/>
        </w:rPr>
        <w:t>, Qualcomm</w:t>
      </w:r>
    </w:p>
    <w:p w14:paraId="508D7C21" w14:textId="0AF6E93E" w:rsidR="008F676A" w:rsidRPr="00A54900" w:rsidRDefault="008F676A" w:rsidP="008F676A">
      <w:pPr>
        <w:pStyle w:val="2222"/>
        <w:spacing w:after="120" w:line="288" w:lineRule="auto"/>
        <w:ind w:firstLineChars="0" w:firstLine="0"/>
        <w:jc w:val="left"/>
        <w:rPr>
          <w:rFonts w:cs="Times New Roman"/>
          <w:lang w:eastAsia="ko-KR"/>
        </w:rPr>
      </w:pPr>
      <w:r>
        <w:rPr>
          <w:rFonts w:cs="Times New Roman"/>
          <w:lang w:eastAsia="ko-KR"/>
        </w:rPr>
        <w:t xml:space="preserve">[2] </w:t>
      </w:r>
      <w:r w:rsidR="00DB39E4" w:rsidRPr="00DB39E4">
        <w:rPr>
          <w:rFonts w:cs="Times New Roman"/>
          <w:lang w:eastAsia="ko-KR"/>
        </w:rPr>
        <w:t>R1-1911724</w:t>
      </w:r>
      <w:r w:rsidR="00DB39E4">
        <w:rPr>
          <w:rFonts w:cs="Times New Roman"/>
          <w:lang w:eastAsia="ko-KR"/>
        </w:rPr>
        <w:t>, Upper Layer Parameters to Support IAB Physical Layer Operation, Qualcomm</w:t>
      </w:r>
    </w:p>
    <w:bookmarkEnd w:id="3"/>
    <w:p w14:paraId="5EDFD7AD" w14:textId="77777777" w:rsidR="00FE6C15" w:rsidRPr="00B12672" w:rsidRDefault="00FE6C15" w:rsidP="00172743">
      <w:pPr>
        <w:spacing w:before="0" w:after="0"/>
        <w:rPr>
          <w:rFonts w:ascii="Calibri" w:hAnsi="Calibri" w:cs="Arial"/>
          <w:b/>
        </w:rPr>
      </w:pPr>
    </w:p>
    <w:sectPr w:rsidR="00FE6C15" w:rsidRPr="00B12672" w:rsidSect="0001485D">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C21856" w14:textId="77777777" w:rsidR="003D438C" w:rsidRDefault="003D438C" w:rsidP="00424124">
      <w:pPr>
        <w:spacing w:before="0" w:after="0"/>
      </w:pPr>
      <w:r>
        <w:separator/>
      </w:r>
    </w:p>
  </w:endnote>
  <w:endnote w:type="continuationSeparator" w:id="0">
    <w:p w14:paraId="4CF37F8B" w14:textId="77777777" w:rsidR="003D438C" w:rsidRDefault="003D438C" w:rsidP="0042412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797DD7" w14:textId="77777777" w:rsidR="003D438C" w:rsidRDefault="003D438C" w:rsidP="00424124">
      <w:pPr>
        <w:spacing w:before="0" w:after="0"/>
      </w:pPr>
      <w:r>
        <w:separator/>
      </w:r>
    </w:p>
  </w:footnote>
  <w:footnote w:type="continuationSeparator" w:id="0">
    <w:p w14:paraId="648C4C92" w14:textId="77777777" w:rsidR="003D438C" w:rsidRDefault="003D438C" w:rsidP="00424124">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9674A"/>
    <w:multiLevelType w:val="hybridMultilevel"/>
    <w:tmpl w:val="851CE96E"/>
    <w:lvl w:ilvl="0" w:tplc="0409000F">
      <w:start w:val="1"/>
      <w:numFmt w:val="decimal"/>
      <w:lvlText w:val="%1."/>
      <w:lvlJc w:val="left"/>
      <w:pPr>
        <w:ind w:left="1120" w:hanging="360"/>
      </w:p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 w15:restartNumberingAfterBreak="0">
    <w:nsid w:val="05B468FB"/>
    <w:multiLevelType w:val="hybridMultilevel"/>
    <w:tmpl w:val="A156E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123A96"/>
    <w:multiLevelType w:val="hybridMultilevel"/>
    <w:tmpl w:val="81307AE6"/>
    <w:lvl w:ilvl="0" w:tplc="04090001">
      <w:start w:val="1"/>
      <w:numFmt w:val="bullet"/>
      <w:lvlText w:val=""/>
      <w:lvlJc w:val="left"/>
      <w:pPr>
        <w:ind w:left="916" w:hanging="360"/>
      </w:pPr>
      <w:rPr>
        <w:rFonts w:ascii="Symbol" w:hAnsi="Symbol" w:hint="default"/>
      </w:rPr>
    </w:lvl>
    <w:lvl w:ilvl="1" w:tplc="04090003">
      <w:start w:val="1"/>
      <w:numFmt w:val="bullet"/>
      <w:lvlText w:val="o"/>
      <w:lvlJc w:val="left"/>
      <w:pPr>
        <w:ind w:left="1636" w:hanging="360"/>
      </w:pPr>
      <w:rPr>
        <w:rFonts w:ascii="Courier New" w:hAnsi="Courier New" w:cs="Courier New" w:hint="default"/>
      </w:rPr>
    </w:lvl>
    <w:lvl w:ilvl="2" w:tplc="04090005">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3" w15:restartNumberingAfterBreak="0">
    <w:nsid w:val="08DB63DD"/>
    <w:multiLevelType w:val="hybridMultilevel"/>
    <w:tmpl w:val="CB3A0C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5" w15:restartNumberingAfterBreak="0">
    <w:nsid w:val="15CC5DF1"/>
    <w:multiLevelType w:val="hybridMultilevel"/>
    <w:tmpl w:val="6DB884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5463913"/>
    <w:multiLevelType w:val="hybridMultilevel"/>
    <w:tmpl w:val="D6DAE6A4"/>
    <w:lvl w:ilvl="0" w:tplc="8F1493C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7412606"/>
    <w:multiLevelType w:val="hybridMultilevel"/>
    <w:tmpl w:val="D6DAE6A4"/>
    <w:lvl w:ilvl="0" w:tplc="8F1493C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9554FFD"/>
    <w:multiLevelType w:val="hybridMultilevel"/>
    <w:tmpl w:val="DFAC5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103957"/>
    <w:multiLevelType w:val="hybridMultilevel"/>
    <w:tmpl w:val="12081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CB80D60"/>
    <w:multiLevelType w:val="hybridMultilevel"/>
    <w:tmpl w:val="9F60C264"/>
    <w:lvl w:ilvl="0" w:tplc="FFFFFFFF">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64C1D99"/>
    <w:multiLevelType w:val="hybridMultilevel"/>
    <w:tmpl w:val="CA327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C396EE0"/>
    <w:multiLevelType w:val="hybridMultilevel"/>
    <w:tmpl w:val="D6DAE6A4"/>
    <w:lvl w:ilvl="0" w:tplc="8F1493C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4C406853"/>
    <w:multiLevelType w:val="hybridMultilevel"/>
    <w:tmpl w:val="2710E4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55881470"/>
    <w:multiLevelType w:val="hybridMultilevel"/>
    <w:tmpl w:val="908E0520"/>
    <w:lvl w:ilvl="0" w:tplc="893C6BF8">
      <w:start w:val="550"/>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7" w15:restartNumberingAfterBreak="0">
    <w:nsid w:val="5F29747A"/>
    <w:multiLevelType w:val="multilevel"/>
    <w:tmpl w:val="BDA0501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8" w15:restartNumberingAfterBreak="0">
    <w:nsid w:val="61430757"/>
    <w:multiLevelType w:val="hybridMultilevel"/>
    <w:tmpl w:val="2AA8B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34C1B02"/>
    <w:multiLevelType w:val="hybridMultilevel"/>
    <w:tmpl w:val="D6DAE6A4"/>
    <w:lvl w:ilvl="0" w:tplc="8F1493C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66F223B6"/>
    <w:multiLevelType w:val="hybridMultilevel"/>
    <w:tmpl w:val="E5988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7F85588"/>
    <w:multiLevelType w:val="hybridMultilevel"/>
    <w:tmpl w:val="225CA8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C17756E"/>
    <w:multiLevelType w:val="hybridMultilevel"/>
    <w:tmpl w:val="B282A5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F107AED"/>
    <w:multiLevelType w:val="hybridMultilevel"/>
    <w:tmpl w:val="95BA76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1064A36"/>
    <w:multiLevelType w:val="hybridMultilevel"/>
    <w:tmpl w:val="5E10EF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260F2B"/>
    <w:multiLevelType w:val="hybridMultilevel"/>
    <w:tmpl w:val="468CF438"/>
    <w:lvl w:ilvl="0" w:tplc="0409000F">
      <w:start w:val="1"/>
      <w:numFmt w:val="decimal"/>
      <w:lvlText w:val="%1."/>
      <w:lvlJc w:val="left"/>
      <w:pPr>
        <w:ind w:left="1080" w:hanging="360"/>
      </w:pPr>
      <w:rPr>
        <w:rFonts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790A440A"/>
    <w:multiLevelType w:val="hybridMultilevel"/>
    <w:tmpl w:val="0BBEE6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6"/>
  </w:num>
  <w:num w:numId="3">
    <w:abstractNumId w:val="17"/>
  </w:num>
  <w:num w:numId="4">
    <w:abstractNumId w:val="0"/>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1"/>
  </w:num>
  <w:num w:numId="7">
    <w:abstractNumId w:val="5"/>
  </w:num>
  <w:num w:numId="8">
    <w:abstractNumId w:val="15"/>
  </w:num>
  <w:num w:numId="9">
    <w:abstractNumId w:val="2"/>
  </w:num>
  <w:num w:numId="10">
    <w:abstractNumId w:val="3"/>
  </w:num>
  <w:num w:numId="11">
    <w:abstractNumId w:val="18"/>
  </w:num>
  <w:num w:numId="12">
    <w:abstractNumId w:val="9"/>
  </w:num>
  <w:num w:numId="13">
    <w:abstractNumId w:val="10"/>
  </w:num>
  <w:num w:numId="14">
    <w:abstractNumId w:val="26"/>
  </w:num>
  <w:num w:numId="15">
    <w:abstractNumId w:val="1"/>
  </w:num>
  <w:num w:numId="16">
    <w:abstractNumId w:val="24"/>
  </w:num>
  <w:num w:numId="17">
    <w:abstractNumId w:val="16"/>
  </w:num>
  <w:num w:numId="18">
    <w:abstractNumId w:val="11"/>
  </w:num>
  <w:num w:numId="19">
    <w:abstractNumId w:val="25"/>
  </w:num>
  <w:num w:numId="20">
    <w:abstractNumId w:val="14"/>
  </w:num>
  <w:num w:numId="21">
    <w:abstractNumId w:val="7"/>
  </w:num>
  <w:num w:numId="22">
    <w:abstractNumId w:val="8"/>
  </w:num>
  <w:num w:numId="23">
    <w:abstractNumId w:val="20"/>
  </w:num>
  <w:num w:numId="24">
    <w:abstractNumId w:val="19"/>
  </w:num>
  <w:num w:numId="25">
    <w:abstractNumId w:val="23"/>
  </w:num>
  <w:num w:numId="26">
    <w:abstractNumId w:val="13"/>
  </w:num>
  <w:num w:numId="27">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1127"/>
    <w:rsid w:val="00001BBA"/>
    <w:rsid w:val="00004522"/>
    <w:rsid w:val="000052FF"/>
    <w:rsid w:val="00005D82"/>
    <w:rsid w:val="0001485D"/>
    <w:rsid w:val="000149EC"/>
    <w:rsid w:val="00020F1A"/>
    <w:rsid w:val="00031AB6"/>
    <w:rsid w:val="00032D47"/>
    <w:rsid w:val="000337FC"/>
    <w:rsid w:val="000440EF"/>
    <w:rsid w:val="000455B3"/>
    <w:rsid w:val="000463E4"/>
    <w:rsid w:val="00051B4B"/>
    <w:rsid w:val="00051EBB"/>
    <w:rsid w:val="0005289E"/>
    <w:rsid w:val="000550BC"/>
    <w:rsid w:val="00057E9B"/>
    <w:rsid w:val="000643C2"/>
    <w:rsid w:val="000643FA"/>
    <w:rsid w:val="00070728"/>
    <w:rsid w:val="000730C9"/>
    <w:rsid w:val="0007575F"/>
    <w:rsid w:val="00075B2C"/>
    <w:rsid w:val="00075FD1"/>
    <w:rsid w:val="00077712"/>
    <w:rsid w:val="00085800"/>
    <w:rsid w:val="000865E3"/>
    <w:rsid w:val="000917C5"/>
    <w:rsid w:val="00097DC6"/>
    <w:rsid w:val="000A36A9"/>
    <w:rsid w:val="000B0720"/>
    <w:rsid w:val="000B58AF"/>
    <w:rsid w:val="000B6D99"/>
    <w:rsid w:val="000C05C0"/>
    <w:rsid w:val="000C21D0"/>
    <w:rsid w:val="000C57B9"/>
    <w:rsid w:val="000D38DC"/>
    <w:rsid w:val="000E29D8"/>
    <w:rsid w:val="000F259D"/>
    <w:rsid w:val="0010303E"/>
    <w:rsid w:val="0011327D"/>
    <w:rsid w:val="00116DA6"/>
    <w:rsid w:val="001279BC"/>
    <w:rsid w:val="00127B93"/>
    <w:rsid w:val="00137E15"/>
    <w:rsid w:val="001417A8"/>
    <w:rsid w:val="0015279F"/>
    <w:rsid w:val="00153793"/>
    <w:rsid w:val="00155BC2"/>
    <w:rsid w:val="00161629"/>
    <w:rsid w:val="00163AD0"/>
    <w:rsid w:val="00172743"/>
    <w:rsid w:val="00175301"/>
    <w:rsid w:val="001A5A68"/>
    <w:rsid w:val="001A6212"/>
    <w:rsid w:val="001A75E0"/>
    <w:rsid w:val="001B731B"/>
    <w:rsid w:val="001C4ACE"/>
    <w:rsid w:val="001C699C"/>
    <w:rsid w:val="001E02F3"/>
    <w:rsid w:val="001E0CE1"/>
    <w:rsid w:val="001E58CC"/>
    <w:rsid w:val="001E602E"/>
    <w:rsid w:val="001F02DD"/>
    <w:rsid w:val="001F2A01"/>
    <w:rsid w:val="001F59ED"/>
    <w:rsid w:val="002007EE"/>
    <w:rsid w:val="002013B3"/>
    <w:rsid w:val="00201870"/>
    <w:rsid w:val="0021170E"/>
    <w:rsid w:val="00211D37"/>
    <w:rsid w:val="00212204"/>
    <w:rsid w:val="0021262A"/>
    <w:rsid w:val="00216763"/>
    <w:rsid w:val="00222269"/>
    <w:rsid w:val="00222811"/>
    <w:rsid w:val="00225464"/>
    <w:rsid w:val="00233D70"/>
    <w:rsid w:val="00235373"/>
    <w:rsid w:val="00242080"/>
    <w:rsid w:val="002427E5"/>
    <w:rsid w:val="00245C2C"/>
    <w:rsid w:val="00246D61"/>
    <w:rsid w:val="0024786A"/>
    <w:rsid w:val="0025058B"/>
    <w:rsid w:val="002528A7"/>
    <w:rsid w:val="00262116"/>
    <w:rsid w:val="002641FE"/>
    <w:rsid w:val="00265254"/>
    <w:rsid w:val="00267362"/>
    <w:rsid w:val="002725E8"/>
    <w:rsid w:val="00272EC2"/>
    <w:rsid w:val="00273B2A"/>
    <w:rsid w:val="00274677"/>
    <w:rsid w:val="00276785"/>
    <w:rsid w:val="00277973"/>
    <w:rsid w:val="00287D4D"/>
    <w:rsid w:val="00287D80"/>
    <w:rsid w:val="0029112F"/>
    <w:rsid w:val="0029147A"/>
    <w:rsid w:val="002914D5"/>
    <w:rsid w:val="00297225"/>
    <w:rsid w:val="002A005E"/>
    <w:rsid w:val="002A0270"/>
    <w:rsid w:val="002A66E2"/>
    <w:rsid w:val="002B4932"/>
    <w:rsid w:val="002B6E52"/>
    <w:rsid w:val="002C0488"/>
    <w:rsid w:val="002C4097"/>
    <w:rsid w:val="002C594E"/>
    <w:rsid w:val="002D3D42"/>
    <w:rsid w:val="002D479B"/>
    <w:rsid w:val="002D5698"/>
    <w:rsid w:val="002D6EC9"/>
    <w:rsid w:val="002D787B"/>
    <w:rsid w:val="002E188B"/>
    <w:rsid w:val="002E65B5"/>
    <w:rsid w:val="002F2F26"/>
    <w:rsid w:val="002F4C25"/>
    <w:rsid w:val="003141F5"/>
    <w:rsid w:val="00315DC4"/>
    <w:rsid w:val="00317020"/>
    <w:rsid w:val="00320B4D"/>
    <w:rsid w:val="00326CF4"/>
    <w:rsid w:val="00326FF6"/>
    <w:rsid w:val="00327A22"/>
    <w:rsid w:val="00332BB8"/>
    <w:rsid w:val="0033513A"/>
    <w:rsid w:val="00342130"/>
    <w:rsid w:val="00346605"/>
    <w:rsid w:val="00347824"/>
    <w:rsid w:val="0035318F"/>
    <w:rsid w:val="00354C01"/>
    <w:rsid w:val="0036306A"/>
    <w:rsid w:val="003727DB"/>
    <w:rsid w:val="00380BBB"/>
    <w:rsid w:val="00385177"/>
    <w:rsid w:val="00386642"/>
    <w:rsid w:val="00392176"/>
    <w:rsid w:val="003921D6"/>
    <w:rsid w:val="003A0594"/>
    <w:rsid w:val="003A298A"/>
    <w:rsid w:val="003A553B"/>
    <w:rsid w:val="003A566A"/>
    <w:rsid w:val="003B1EC9"/>
    <w:rsid w:val="003B5456"/>
    <w:rsid w:val="003C2392"/>
    <w:rsid w:val="003C2E75"/>
    <w:rsid w:val="003D438C"/>
    <w:rsid w:val="003E1304"/>
    <w:rsid w:val="003E2741"/>
    <w:rsid w:val="003E306F"/>
    <w:rsid w:val="003E35D4"/>
    <w:rsid w:val="003E7121"/>
    <w:rsid w:val="003F0731"/>
    <w:rsid w:val="003F33B4"/>
    <w:rsid w:val="004011AC"/>
    <w:rsid w:val="00405F6D"/>
    <w:rsid w:val="00407F18"/>
    <w:rsid w:val="00424124"/>
    <w:rsid w:val="00434212"/>
    <w:rsid w:val="00440F6E"/>
    <w:rsid w:val="00443645"/>
    <w:rsid w:val="00443CD6"/>
    <w:rsid w:val="00454EE3"/>
    <w:rsid w:val="004552C9"/>
    <w:rsid w:val="004607AC"/>
    <w:rsid w:val="0046127E"/>
    <w:rsid w:val="00466E46"/>
    <w:rsid w:val="004678E1"/>
    <w:rsid w:val="004709B7"/>
    <w:rsid w:val="00473281"/>
    <w:rsid w:val="00473B68"/>
    <w:rsid w:val="0048301B"/>
    <w:rsid w:val="004A5ABE"/>
    <w:rsid w:val="004A6424"/>
    <w:rsid w:val="004A69D0"/>
    <w:rsid w:val="004A6A82"/>
    <w:rsid w:val="004A72C2"/>
    <w:rsid w:val="004B6AA8"/>
    <w:rsid w:val="004B6E00"/>
    <w:rsid w:val="004B7BD3"/>
    <w:rsid w:val="004C130E"/>
    <w:rsid w:val="004C186B"/>
    <w:rsid w:val="004C38DD"/>
    <w:rsid w:val="004C3F2E"/>
    <w:rsid w:val="004C4856"/>
    <w:rsid w:val="004C6DC3"/>
    <w:rsid w:val="004C6ED8"/>
    <w:rsid w:val="004C7784"/>
    <w:rsid w:val="004D453B"/>
    <w:rsid w:val="004D780D"/>
    <w:rsid w:val="004D7CF8"/>
    <w:rsid w:val="004E6BC0"/>
    <w:rsid w:val="004E6D3B"/>
    <w:rsid w:val="004F0291"/>
    <w:rsid w:val="005007E9"/>
    <w:rsid w:val="00504C05"/>
    <w:rsid w:val="00504E5F"/>
    <w:rsid w:val="005055A6"/>
    <w:rsid w:val="00507060"/>
    <w:rsid w:val="0051179B"/>
    <w:rsid w:val="005121EE"/>
    <w:rsid w:val="00512838"/>
    <w:rsid w:val="0051424F"/>
    <w:rsid w:val="00523623"/>
    <w:rsid w:val="005300F0"/>
    <w:rsid w:val="005363F5"/>
    <w:rsid w:val="00541819"/>
    <w:rsid w:val="0054560C"/>
    <w:rsid w:val="00545FD3"/>
    <w:rsid w:val="00551C99"/>
    <w:rsid w:val="0055464C"/>
    <w:rsid w:val="0056238B"/>
    <w:rsid w:val="00565BDB"/>
    <w:rsid w:val="005666A4"/>
    <w:rsid w:val="0057145F"/>
    <w:rsid w:val="00575859"/>
    <w:rsid w:val="005758E7"/>
    <w:rsid w:val="005778C8"/>
    <w:rsid w:val="0058120D"/>
    <w:rsid w:val="005A18B4"/>
    <w:rsid w:val="005A60B4"/>
    <w:rsid w:val="005A60E9"/>
    <w:rsid w:val="005B47BD"/>
    <w:rsid w:val="005B69C2"/>
    <w:rsid w:val="005B6FA6"/>
    <w:rsid w:val="005D2C51"/>
    <w:rsid w:val="005F21BF"/>
    <w:rsid w:val="005F613D"/>
    <w:rsid w:val="00600F57"/>
    <w:rsid w:val="00603015"/>
    <w:rsid w:val="0060432C"/>
    <w:rsid w:val="0060603E"/>
    <w:rsid w:val="00624678"/>
    <w:rsid w:val="00632789"/>
    <w:rsid w:val="00633934"/>
    <w:rsid w:val="00634707"/>
    <w:rsid w:val="00636F9E"/>
    <w:rsid w:val="006439F2"/>
    <w:rsid w:val="00644034"/>
    <w:rsid w:val="006477B7"/>
    <w:rsid w:val="00652AC8"/>
    <w:rsid w:val="0065437E"/>
    <w:rsid w:val="0066157D"/>
    <w:rsid w:val="006703A8"/>
    <w:rsid w:val="0067125A"/>
    <w:rsid w:val="00671E30"/>
    <w:rsid w:val="006726B2"/>
    <w:rsid w:val="006756FB"/>
    <w:rsid w:val="00677BD0"/>
    <w:rsid w:val="00685B82"/>
    <w:rsid w:val="00685E11"/>
    <w:rsid w:val="0069705B"/>
    <w:rsid w:val="006A0EDC"/>
    <w:rsid w:val="006A18DB"/>
    <w:rsid w:val="006A2D2E"/>
    <w:rsid w:val="006C0BAC"/>
    <w:rsid w:val="006C452E"/>
    <w:rsid w:val="006C7692"/>
    <w:rsid w:val="006D1956"/>
    <w:rsid w:val="006D6ABC"/>
    <w:rsid w:val="006E790B"/>
    <w:rsid w:val="006F055C"/>
    <w:rsid w:val="006F52D9"/>
    <w:rsid w:val="00702C40"/>
    <w:rsid w:val="00707D20"/>
    <w:rsid w:val="00710F58"/>
    <w:rsid w:val="00713175"/>
    <w:rsid w:val="00713382"/>
    <w:rsid w:val="00714B77"/>
    <w:rsid w:val="00714CA5"/>
    <w:rsid w:val="00721AD7"/>
    <w:rsid w:val="007225EF"/>
    <w:rsid w:val="00722BA6"/>
    <w:rsid w:val="00723DC5"/>
    <w:rsid w:val="00726B84"/>
    <w:rsid w:val="00727952"/>
    <w:rsid w:val="0073093E"/>
    <w:rsid w:val="007316AF"/>
    <w:rsid w:val="007338D6"/>
    <w:rsid w:val="007351F1"/>
    <w:rsid w:val="00740B36"/>
    <w:rsid w:val="00745452"/>
    <w:rsid w:val="00747A6F"/>
    <w:rsid w:val="0075622F"/>
    <w:rsid w:val="0076067D"/>
    <w:rsid w:val="007639B9"/>
    <w:rsid w:val="00766B7B"/>
    <w:rsid w:val="00782CDC"/>
    <w:rsid w:val="007839F9"/>
    <w:rsid w:val="00784132"/>
    <w:rsid w:val="00786229"/>
    <w:rsid w:val="0078708D"/>
    <w:rsid w:val="00787145"/>
    <w:rsid w:val="00787B23"/>
    <w:rsid w:val="00791D57"/>
    <w:rsid w:val="007A2765"/>
    <w:rsid w:val="007B13E5"/>
    <w:rsid w:val="007B2F6B"/>
    <w:rsid w:val="007B473A"/>
    <w:rsid w:val="007C350F"/>
    <w:rsid w:val="007C4B85"/>
    <w:rsid w:val="007D0BB2"/>
    <w:rsid w:val="007D2C48"/>
    <w:rsid w:val="007D498E"/>
    <w:rsid w:val="007E1060"/>
    <w:rsid w:val="007E546F"/>
    <w:rsid w:val="007F0AF3"/>
    <w:rsid w:val="007F1928"/>
    <w:rsid w:val="007F392E"/>
    <w:rsid w:val="00811A1B"/>
    <w:rsid w:val="00814815"/>
    <w:rsid w:val="00815023"/>
    <w:rsid w:val="00824DED"/>
    <w:rsid w:val="00826E5A"/>
    <w:rsid w:val="0083713D"/>
    <w:rsid w:val="008403AA"/>
    <w:rsid w:val="008437B2"/>
    <w:rsid w:val="00843F1C"/>
    <w:rsid w:val="00850DCE"/>
    <w:rsid w:val="00853591"/>
    <w:rsid w:val="00854FBB"/>
    <w:rsid w:val="008563DB"/>
    <w:rsid w:val="0086373E"/>
    <w:rsid w:val="008661BA"/>
    <w:rsid w:val="008671A6"/>
    <w:rsid w:val="00871024"/>
    <w:rsid w:val="0087144B"/>
    <w:rsid w:val="00871CA8"/>
    <w:rsid w:val="00872D80"/>
    <w:rsid w:val="00872E80"/>
    <w:rsid w:val="008747AA"/>
    <w:rsid w:val="008810D4"/>
    <w:rsid w:val="00885004"/>
    <w:rsid w:val="00886940"/>
    <w:rsid w:val="00886B7B"/>
    <w:rsid w:val="00887AB4"/>
    <w:rsid w:val="00894290"/>
    <w:rsid w:val="008A00F0"/>
    <w:rsid w:val="008A25A1"/>
    <w:rsid w:val="008B39B6"/>
    <w:rsid w:val="008C1AFD"/>
    <w:rsid w:val="008C4B67"/>
    <w:rsid w:val="008D1AEF"/>
    <w:rsid w:val="008E48C2"/>
    <w:rsid w:val="008F0D8C"/>
    <w:rsid w:val="008F2160"/>
    <w:rsid w:val="008F676A"/>
    <w:rsid w:val="00901B67"/>
    <w:rsid w:val="00905E86"/>
    <w:rsid w:val="009124E4"/>
    <w:rsid w:val="00914163"/>
    <w:rsid w:val="009147F1"/>
    <w:rsid w:val="00917D0F"/>
    <w:rsid w:val="00924EA9"/>
    <w:rsid w:val="00925FA2"/>
    <w:rsid w:val="00926A9C"/>
    <w:rsid w:val="00927803"/>
    <w:rsid w:val="00940101"/>
    <w:rsid w:val="00940DAB"/>
    <w:rsid w:val="009453B3"/>
    <w:rsid w:val="009550DA"/>
    <w:rsid w:val="00957CD1"/>
    <w:rsid w:val="00961DB2"/>
    <w:rsid w:val="0097292F"/>
    <w:rsid w:val="009741D9"/>
    <w:rsid w:val="00974C06"/>
    <w:rsid w:val="009750CC"/>
    <w:rsid w:val="00980746"/>
    <w:rsid w:val="00982CA4"/>
    <w:rsid w:val="00984235"/>
    <w:rsid w:val="00992432"/>
    <w:rsid w:val="00993D92"/>
    <w:rsid w:val="00997E4E"/>
    <w:rsid w:val="009A4D63"/>
    <w:rsid w:val="009A54FC"/>
    <w:rsid w:val="009B08C5"/>
    <w:rsid w:val="009B52C0"/>
    <w:rsid w:val="009B75E8"/>
    <w:rsid w:val="009C2167"/>
    <w:rsid w:val="009D46C1"/>
    <w:rsid w:val="009E0D02"/>
    <w:rsid w:val="009E4418"/>
    <w:rsid w:val="009E5838"/>
    <w:rsid w:val="00A0235E"/>
    <w:rsid w:val="00A04526"/>
    <w:rsid w:val="00A11704"/>
    <w:rsid w:val="00A11840"/>
    <w:rsid w:val="00A13160"/>
    <w:rsid w:val="00A21D13"/>
    <w:rsid w:val="00A22671"/>
    <w:rsid w:val="00A22C61"/>
    <w:rsid w:val="00A25311"/>
    <w:rsid w:val="00A262E4"/>
    <w:rsid w:val="00A26EC3"/>
    <w:rsid w:val="00A300E0"/>
    <w:rsid w:val="00A359C7"/>
    <w:rsid w:val="00A41CF3"/>
    <w:rsid w:val="00A456B1"/>
    <w:rsid w:val="00A4674D"/>
    <w:rsid w:val="00A547CE"/>
    <w:rsid w:val="00A55FF3"/>
    <w:rsid w:val="00A57031"/>
    <w:rsid w:val="00A603CE"/>
    <w:rsid w:val="00A64CF7"/>
    <w:rsid w:val="00A72B33"/>
    <w:rsid w:val="00A821EA"/>
    <w:rsid w:val="00A8721E"/>
    <w:rsid w:val="00A92495"/>
    <w:rsid w:val="00A95601"/>
    <w:rsid w:val="00AA5160"/>
    <w:rsid w:val="00AA5899"/>
    <w:rsid w:val="00AB0589"/>
    <w:rsid w:val="00AB75A3"/>
    <w:rsid w:val="00AB7FC6"/>
    <w:rsid w:val="00AC05AE"/>
    <w:rsid w:val="00AD115D"/>
    <w:rsid w:val="00AD16AE"/>
    <w:rsid w:val="00AD6C53"/>
    <w:rsid w:val="00AD70C0"/>
    <w:rsid w:val="00AE54EF"/>
    <w:rsid w:val="00AE72F4"/>
    <w:rsid w:val="00AF0A4B"/>
    <w:rsid w:val="00AF4BBC"/>
    <w:rsid w:val="00AF65DE"/>
    <w:rsid w:val="00B04278"/>
    <w:rsid w:val="00B12672"/>
    <w:rsid w:val="00B2434D"/>
    <w:rsid w:val="00B24D29"/>
    <w:rsid w:val="00B32216"/>
    <w:rsid w:val="00B34716"/>
    <w:rsid w:val="00B3707E"/>
    <w:rsid w:val="00B55FA2"/>
    <w:rsid w:val="00B61A13"/>
    <w:rsid w:val="00B6232D"/>
    <w:rsid w:val="00B648CA"/>
    <w:rsid w:val="00B64C5B"/>
    <w:rsid w:val="00B66646"/>
    <w:rsid w:val="00B74894"/>
    <w:rsid w:val="00B749FB"/>
    <w:rsid w:val="00B75FF7"/>
    <w:rsid w:val="00B82B83"/>
    <w:rsid w:val="00B909F7"/>
    <w:rsid w:val="00B96A24"/>
    <w:rsid w:val="00BA315C"/>
    <w:rsid w:val="00BA677D"/>
    <w:rsid w:val="00BA6FDB"/>
    <w:rsid w:val="00BB02ED"/>
    <w:rsid w:val="00BB3CBF"/>
    <w:rsid w:val="00BB5132"/>
    <w:rsid w:val="00BC31F9"/>
    <w:rsid w:val="00BC6F83"/>
    <w:rsid w:val="00BC704C"/>
    <w:rsid w:val="00BD15E1"/>
    <w:rsid w:val="00BD34B4"/>
    <w:rsid w:val="00BE26B4"/>
    <w:rsid w:val="00BF2C5D"/>
    <w:rsid w:val="00BF31E3"/>
    <w:rsid w:val="00BF3936"/>
    <w:rsid w:val="00BF5F1C"/>
    <w:rsid w:val="00C07731"/>
    <w:rsid w:val="00C11C1A"/>
    <w:rsid w:val="00C17E83"/>
    <w:rsid w:val="00C218A9"/>
    <w:rsid w:val="00C261F4"/>
    <w:rsid w:val="00C36905"/>
    <w:rsid w:val="00C40BE6"/>
    <w:rsid w:val="00C47EE0"/>
    <w:rsid w:val="00C534CA"/>
    <w:rsid w:val="00C63006"/>
    <w:rsid w:val="00C67568"/>
    <w:rsid w:val="00C7007B"/>
    <w:rsid w:val="00C71871"/>
    <w:rsid w:val="00C724F1"/>
    <w:rsid w:val="00C735F1"/>
    <w:rsid w:val="00C74682"/>
    <w:rsid w:val="00C913B6"/>
    <w:rsid w:val="00C91C5E"/>
    <w:rsid w:val="00C92E44"/>
    <w:rsid w:val="00C974DD"/>
    <w:rsid w:val="00CA005F"/>
    <w:rsid w:val="00CA6EA3"/>
    <w:rsid w:val="00CB15A7"/>
    <w:rsid w:val="00CB6D97"/>
    <w:rsid w:val="00CC09CE"/>
    <w:rsid w:val="00CD7B54"/>
    <w:rsid w:val="00CE0C9D"/>
    <w:rsid w:val="00CE1FF5"/>
    <w:rsid w:val="00D10682"/>
    <w:rsid w:val="00D134C5"/>
    <w:rsid w:val="00D220ED"/>
    <w:rsid w:val="00D23CDC"/>
    <w:rsid w:val="00D26593"/>
    <w:rsid w:val="00D268EB"/>
    <w:rsid w:val="00D26CFF"/>
    <w:rsid w:val="00D274C6"/>
    <w:rsid w:val="00D37270"/>
    <w:rsid w:val="00D446F1"/>
    <w:rsid w:val="00D456D8"/>
    <w:rsid w:val="00D45A0E"/>
    <w:rsid w:val="00D4645D"/>
    <w:rsid w:val="00D4758C"/>
    <w:rsid w:val="00D50169"/>
    <w:rsid w:val="00D5391C"/>
    <w:rsid w:val="00D55FAB"/>
    <w:rsid w:val="00D56786"/>
    <w:rsid w:val="00D61EAB"/>
    <w:rsid w:val="00D701D3"/>
    <w:rsid w:val="00D70E8C"/>
    <w:rsid w:val="00D724F9"/>
    <w:rsid w:val="00D7445F"/>
    <w:rsid w:val="00D77422"/>
    <w:rsid w:val="00D91E8D"/>
    <w:rsid w:val="00D92B1D"/>
    <w:rsid w:val="00DB0323"/>
    <w:rsid w:val="00DB1FA7"/>
    <w:rsid w:val="00DB39E4"/>
    <w:rsid w:val="00DB3BFC"/>
    <w:rsid w:val="00DC0E31"/>
    <w:rsid w:val="00DC1C0D"/>
    <w:rsid w:val="00DC70D0"/>
    <w:rsid w:val="00DC7DD6"/>
    <w:rsid w:val="00DD2FB7"/>
    <w:rsid w:val="00DD3971"/>
    <w:rsid w:val="00DE2A3F"/>
    <w:rsid w:val="00DF148E"/>
    <w:rsid w:val="00DF5F45"/>
    <w:rsid w:val="00E03E65"/>
    <w:rsid w:val="00E13146"/>
    <w:rsid w:val="00E174FC"/>
    <w:rsid w:val="00E20070"/>
    <w:rsid w:val="00E20994"/>
    <w:rsid w:val="00E22124"/>
    <w:rsid w:val="00E261AD"/>
    <w:rsid w:val="00E324C0"/>
    <w:rsid w:val="00E40344"/>
    <w:rsid w:val="00E46D61"/>
    <w:rsid w:val="00E56C7E"/>
    <w:rsid w:val="00E576BD"/>
    <w:rsid w:val="00E57BE9"/>
    <w:rsid w:val="00E604D6"/>
    <w:rsid w:val="00E67086"/>
    <w:rsid w:val="00E857E4"/>
    <w:rsid w:val="00E85B05"/>
    <w:rsid w:val="00E9139D"/>
    <w:rsid w:val="00E92487"/>
    <w:rsid w:val="00EA26E5"/>
    <w:rsid w:val="00EA31A8"/>
    <w:rsid w:val="00EA3B02"/>
    <w:rsid w:val="00EA5A59"/>
    <w:rsid w:val="00EA6213"/>
    <w:rsid w:val="00EA7183"/>
    <w:rsid w:val="00EB0C39"/>
    <w:rsid w:val="00EB3301"/>
    <w:rsid w:val="00EC205E"/>
    <w:rsid w:val="00EE2068"/>
    <w:rsid w:val="00EE4A18"/>
    <w:rsid w:val="00EF1F69"/>
    <w:rsid w:val="00EF61D1"/>
    <w:rsid w:val="00F05333"/>
    <w:rsid w:val="00F1311C"/>
    <w:rsid w:val="00F154D0"/>
    <w:rsid w:val="00F261D6"/>
    <w:rsid w:val="00F26D45"/>
    <w:rsid w:val="00F30C84"/>
    <w:rsid w:val="00F35704"/>
    <w:rsid w:val="00F35911"/>
    <w:rsid w:val="00F35DD7"/>
    <w:rsid w:val="00F42D43"/>
    <w:rsid w:val="00F463C9"/>
    <w:rsid w:val="00F57965"/>
    <w:rsid w:val="00F71810"/>
    <w:rsid w:val="00F72ABE"/>
    <w:rsid w:val="00F72B1B"/>
    <w:rsid w:val="00F7596C"/>
    <w:rsid w:val="00F75F2B"/>
    <w:rsid w:val="00F77E12"/>
    <w:rsid w:val="00F814DE"/>
    <w:rsid w:val="00F86EE6"/>
    <w:rsid w:val="00F90045"/>
    <w:rsid w:val="00F925FE"/>
    <w:rsid w:val="00F959A1"/>
    <w:rsid w:val="00FA0472"/>
    <w:rsid w:val="00FA28D1"/>
    <w:rsid w:val="00FA6558"/>
    <w:rsid w:val="00FB2665"/>
    <w:rsid w:val="00FC3DE0"/>
    <w:rsid w:val="00FC5269"/>
    <w:rsid w:val="00FC61FD"/>
    <w:rsid w:val="00FD2C8C"/>
    <w:rsid w:val="00FD489B"/>
    <w:rsid w:val="00FD530D"/>
    <w:rsid w:val="00FD6F1A"/>
    <w:rsid w:val="00FD791D"/>
    <w:rsid w:val="00FE0217"/>
    <w:rsid w:val="00FE4A8C"/>
    <w:rsid w:val="00FE6C15"/>
    <w:rsid w:val="00FF02B6"/>
    <w:rsid w:val="00FF1DFC"/>
    <w:rsid w:val="00FF3C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67F19D"/>
  <w15:chartTrackingRefBased/>
  <w15:docId w15:val="{1BB0CC9F-A3A6-4E77-95C5-571467F115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24124"/>
    <w:pPr>
      <w:spacing w:before="60" w:after="120"/>
      <w:jc w:val="both"/>
    </w:pPr>
    <w:rPr>
      <w:rFonts w:ascii="Arial" w:eastAsia="Times New Roman" w:hAnsi="Arial"/>
    </w:rPr>
  </w:style>
  <w:style w:type="paragraph" w:styleId="Heading1">
    <w:name w:val="heading 1"/>
    <w:aliases w:val="H1"/>
    <w:basedOn w:val="Normal"/>
    <w:next w:val="Normal"/>
    <w:link w:val="Heading1Char"/>
    <w:autoRedefine/>
    <w:qFormat/>
    <w:rsid w:val="00424124"/>
    <w:pPr>
      <w:keepNext/>
      <w:numPr>
        <w:numId w:val="3"/>
      </w:numPr>
      <w:pBdr>
        <w:bottom w:val="single" w:sz="4" w:space="1" w:color="auto"/>
      </w:pBdr>
      <w:spacing w:before="240" w:after="60"/>
      <w:outlineLvl w:val="0"/>
    </w:pPr>
    <w:rPr>
      <w:b/>
      <w:sz w:val="32"/>
    </w:rPr>
  </w:style>
  <w:style w:type="paragraph" w:styleId="Heading2">
    <w:name w:val="heading 2"/>
    <w:aliases w:val="H2"/>
    <w:basedOn w:val="Normal"/>
    <w:next w:val="Normal"/>
    <w:link w:val="Heading2Char"/>
    <w:qFormat/>
    <w:rsid w:val="00424124"/>
    <w:pPr>
      <w:keepNext/>
      <w:numPr>
        <w:ilvl w:val="1"/>
        <w:numId w:val="3"/>
      </w:numPr>
      <w:spacing w:after="60"/>
      <w:outlineLvl w:val="1"/>
    </w:pPr>
    <w:rPr>
      <w:b/>
      <w:i/>
      <w:sz w:val="28"/>
    </w:rPr>
  </w:style>
  <w:style w:type="paragraph" w:styleId="Heading3">
    <w:name w:val="heading 3"/>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
    <w:basedOn w:val="Normal"/>
    <w:next w:val="Normal"/>
    <w:link w:val="Heading5Char"/>
    <w:rsid w:val="00424124"/>
    <w:pPr>
      <w:numPr>
        <w:ilvl w:val="4"/>
        <w:numId w:val="3"/>
      </w:numPr>
      <w:spacing w:before="240" w:after="60"/>
      <w:outlineLvl w:val="4"/>
    </w:pPr>
  </w:style>
  <w:style w:type="paragraph" w:styleId="Heading6">
    <w:name w:val="heading 6"/>
    <w:aliases w:val="figure,h6"/>
    <w:basedOn w:val="Normal"/>
    <w:next w:val="Normal"/>
    <w:link w:val="Heading6Char"/>
    <w:rsid w:val="00424124"/>
    <w:pPr>
      <w:numPr>
        <w:ilvl w:val="5"/>
        <w:numId w:val="3"/>
      </w:numPr>
      <w:spacing w:before="240" w:after="60"/>
      <w:outlineLvl w:val="5"/>
    </w:pPr>
    <w:rPr>
      <w:i/>
    </w:rPr>
  </w:style>
  <w:style w:type="paragraph" w:styleId="Heading7">
    <w:name w:val="heading 7"/>
    <w:aliases w:val="table,st,h7"/>
    <w:basedOn w:val="Normal"/>
    <w:next w:val="Normal"/>
    <w:link w:val="Heading7Char"/>
    <w:rsid w:val="00424124"/>
    <w:pPr>
      <w:numPr>
        <w:ilvl w:val="6"/>
        <w:numId w:val="3"/>
      </w:numPr>
      <w:spacing w:before="240" w:after="60"/>
      <w:outlineLvl w:val="6"/>
    </w:pPr>
  </w:style>
  <w:style w:type="paragraph" w:styleId="Heading8">
    <w:name w:val="heading 8"/>
    <w:aliases w:val="acronym"/>
    <w:basedOn w:val="Normal"/>
    <w:next w:val="Normal"/>
    <w:link w:val="Heading8Char"/>
    <w:rsid w:val="00424124"/>
    <w:pPr>
      <w:numPr>
        <w:ilvl w:val="7"/>
        <w:numId w:val="3"/>
      </w:numPr>
      <w:spacing w:before="240" w:after="60"/>
      <w:outlineLvl w:val="7"/>
    </w:pPr>
    <w:rPr>
      <w:i/>
    </w:rPr>
  </w:style>
  <w:style w:type="paragraph" w:styleId="Heading9">
    <w:name w:val="heading 9"/>
    <w:aliases w:val="appendix"/>
    <w:basedOn w:val="Normal"/>
    <w:next w:val="Normal"/>
    <w:link w:val="Heading9Char"/>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424124"/>
    <w:rPr>
      <w:rFonts w:ascii="Arial" w:eastAsia="Times New Roman" w:hAnsi="Arial"/>
      <w:b/>
      <w:sz w:val="32"/>
    </w:rPr>
  </w:style>
  <w:style w:type="character" w:customStyle="1" w:styleId="Heading2Char">
    <w:name w:val="Heading 2 Char"/>
    <w:aliases w:val="H2 Char"/>
    <w:link w:val="Heading2"/>
    <w:rsid w:val="00424124"/>
    <w:rPr>
      <w:rFonts w:ascii="Arial" w:eastAsia="Times New Roman" w:hAnsi="Arial"/>
      <w:b/>
      <w:i/>
      <w:sz w:val="28"/>
    </w:rPr>
  </w:style>
  <w:style w:type="character" w:customStyle="1" w:styleId="Heading3Char">
    <w:name w:val="Heading 3 Char"/>
    <w:link w:val="Heading3"/>
    <w:rsid w:val="00424124"/>
    <w:rPr>
      <w:rFonts w:ascii="Arial" w:eastAsia="Times New Roman" w:hAnsi="Arial"/>
      <w:b/>
      <w:sz w:val="24"/>
    </w:rPr>
  </w:style>
  <w:style w:type="character" w:customStyle="1" w:styleId="Heading4Char">
    <w:name w:val="Heading 4 Char"/>
    <w:aliases w:val="H4 Char"/>
    <w:link w:val="Heading4"/>
    <w:rsid w:val="00424124"/>
    <w:rPr>
      <w:rFonts w:ascii="Arial" w:eastAsia="Times New Roman" w:hAnsi="Arial"/>
      <w:b/>
      <w:sz w:val="24"/>
      <w:szCs w:val="24"/>
    </w:rPr>
  </w:style>
  <w:style w:type="character" w:customStyle="1" w:styleId="Heading5Char">
    <w:name w:val="Heading 5 Char"/>
    <w:aliases w:val="h5 Char"/>
    <w:link w:val="Heading5"/>
    <w:rsid w:val="00424124"/>
    <w:rPr>
      <w:rFonts w:ascii="Arial" w:eastAsia="Times New Roman" w:hAnsi="Arial"/>
    </w:rPr>
  </w:style>
  <w:style w:type="character" w:customStyle="1" w:styleId="Heading6Char">
    <w:name w:val="Heading 6 Char"/>
    <w:aliases w:val="figure Char,h6 Char"/>
    <w:link w:val="Heading6"/>
    <w:rsid w:val="00424124"/>
    <w:rPr>
      <w:rFonts w:ascii="Arial" w:eastAsia="Times New Roman" w:hAnsi="Arial"/>
      <w:i/>
    </w:rPr>
  </w:style>
  <w:style w:type="character" w:customStyle="1" w:styleId="Heading7Char">
    <w:name w:val="Heading 7 Char"/>
    <w:aliases w:val="table Char,st Char,h7 Char"/>
    <w:link w:val="Heading7"/>
    <w:rsid w:val="00424124"/>
    <w:rPr>
      <w:rFonts w:ascii="Arial" w:eastAsia="Times New Roman" w:hAnsi="Arial"/>
    </w:rPr>
  </w:style>
  <w:style w:type="character" w:customStyle="1" w:styleId="Heading8Char">
    <w:name w:val="Heading 8 Char"/>
    <w:aliases w:val="acronym Char"/>
    <w:link w:val="Heading8"/>
    <w:rsid w:val="00424124"/>
    <w:rPr>
      <w:rFonts w:ascii="Arial" w:eastAsia="Times New Roman" w:hAnsi="Arial"/>
      <w:i/>
    </w:rPr>
  </w:style>
  <w:style w:type="character" w:customStyle="1" w:styleId="Heading9Char">
    <w:name w:val="Heading 9 Char"/>
    <w:aliases w:val="appendix Char"/>
    <w:link w:val="Heading9"/>
    <w:rsid w:val="00424124"/>
    <w:rPr>
      <w:rFonts w:ascii="Arial" w:eastAsia="Times New Roman" w:hAnsi="Arial"/>
      <w:b/>
      <w:i/>
      <w:sz w:val="18"/>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styleId="List2">
    <w:name w:val="List 2"/>
    <w:basedOn w:val="Normal"/>
    <w:uiPriority w:val="99"/>
    <w:semiHidden/>
    <w:unhideWhenUsed/>
    <w:rsid w:val="00424124"/>
    <w:pPr>
      <w:ind w:left="720" w:hanging="360"/>
      <w:contextualSpacing/>
    </w:p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1"/>
    <w:qFormat/>
    <w:rsid w:val="00424124"/>
    <w:pPr>
      <w:spacing w:before="0" w:after="0"/>
    </w:p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5778C8"/>
    <w:pPr>
      <w:ind w:left="720"/>
      <w:contextualSpacing/>
    </w:p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29112F"/>
    <w:rPr>
      <w:rFonts w:ascii="Arial" w:eastAsia="Times New Roman" w:hAnsi="Arial"/>
    </w:r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spacing w:before="0" w:after="0"/>
    </w:p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1E02F3"/>
    <w:rPr>
      <w:rFonts w:ascii="Times New Roman" w:eastAsia="Times New Roman" w:hAnsi="Times New Roman"/>
      <w:b/>
      <w:bCs/>
      <w:sz w:val="22"/>
      <w:lang w:val="en-GB" w:eastAsia="zh-CN"/>
    </w:rPr>
  </w:style>
  <w:style w:type="character" w:styleId="CommentReference">
    <w:name w:val="annotation reference"/>
    <w:unhideWhenUsed/>
    <w:qFormat/>
    <w:rsid w:val="00FF3CC2"/>
    <w:rPr>
      <w:sz w:val="16"/>
      <w:szCs w:val="16"/>
    </w:rPr>
  </w:style>
  <w:style w:type="paragraph" w:styleId="CommentText">
    <w:name w:val="annotation text"/>
    <w:basedOn w:val="Normal"/>
    <w:link w:val="CommentTextChar"/>
    <w:unhideWhenUsed/>
    <w:qFormat/>
    <w:rsid w:val="00FF3CC2"/>
  </w:style>
  <w:style w:type="character" w:customStyle="1" w:styleId="CommentTextChar">
    <w:name w:val="Comment Text Char"/>
    <w:link w:val="CommentText"/>
    <w:uiPriority w:val="99"/>
    <w:qFormat/>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Normal"/>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styleId="NormalWeb">
    <w:name w:val="Normal (Web)"/>
    <w:basedOn w:val="Normal"/>
    <w:uiPriority w:val="99"/>
    <w:semiHidden/>
    <w:unhideWhenUsed/>
    <w:rsid w:val="001A5A68"/>
    <w:pPr>
      <w:spacing w:before="100" w:beforeAutospacing="1" w:after="100" w:afterAutospacing="1"/>
      <w:jc w:val="left"/>
    </w:pPr>
    <w:rPr>
      <w:rFonts w:ascii="Times New Roman" w:hAnsi="Times New Roman"/>
      <w:sz w:val="24"/>
      <w:szCs w:val="24"/>
    </w:rPr>
  </w:style>
  <w:style w:type="character" w:customStyle="1" w:styleId="Doc-text2Char">
    <w:name w:val="Doc-text2 Char"/>
    <w:link w:val="Doc-text2"/>
    <w:locked/>
    <w:rsid w:val="00EE2068"/>
    <w:rPr>
      <w:rFonts w:ascii="Arial" w:hAnsi="Arial" w:cs="Arial"/>
      <w:lang w:eastAsia="en-GB"/>
    </w:rPr>
  </w:style>
  <w:style w:type="paragraph" w:customStyle="1" w:styleId="Doc-text2">
    <w:name w:val="Doc-text2"/>
    <w:basedOn w:val="Normal"/>
    <w:link w:val="Doc-text2Char"/>
    <w:rsid w:val="00EE2068"/>
    <w:pPr>
      <w:overflowPunct w:val="0"/>
      <w:autoSpaceDE w:val="0"/>
      <w:autoSpaceDN w:val="0"/>
      <w:spacing w:before="0" w:after="0"/>
      <w:ind w:left="1622" w:hanging="363"/>
      <w:jc w:val="left"/>
    </w:pPr>
    <w:rPr>
      <w:rFonts w:eastAsia="Calibri" w:cs="Arial"/>
      <w:lang w:eastAsia="en-GB"/>
    </w:rPr>
  </w:style>
  <w:style w:type="paragraph" w:customStyle="1" w:styleId="3GPPHeader">
    <w:name w:val="3GPP_Header"/>
    <w:basedOn w:val="BodyText"/>
    <w:rsid w:val="001F02DD"/>
    <w:pPr>
      <w:tabs>
        <w:tab w:val="left" w:pos="1701"/>
        <w:tab w:val="right" w:pos="9639"/>
      </w:tabs>
      <w:spacing w:before="0" w:after="240" w:line="259" w:lineRule="auto"/>
    </w:pPr>
    <w:rPr>
      <w:rFonts w:eastAsiaTheme="minorHAnsi" w:cstheme="minorBidi"/>
      <w:b/>
      <w:sz w:val="24"/>
      <w:szCs w:val="22"/>
      <w:lang w:eastAsia="zh-CN"/>
    </w:rPr>
  </w:style>
  <w:style w:type="paragraph" w:styleId="BodyText">
    <w:name w:val="Body Text"/>
    <w:basedOn w:val="Normal"/>
    <w:link w:val="BodyTextChar"/>
    <w:uiPriority w:val="99"/>
    <w:semiHidden/>
    <w:unhideWhenUsed/>
    <w:rsid w:val="001F02DD"/>
  </w:style>
  <w:style w:type="character" w:customStyle="1" w:styleId="BodyTextChar">
    <w:name w:val="Body Text Char"/>
    <w:basedOn w:val="DefaultParagraphFont"/>
    <w:link w:val="BodyText"/>
    <w:uiPriority w:val="99"/>
    <w:semiHidden/>
    <w:rsid w:val="001F02DD"/>
    <w:rPr>
      <w:rFonts w:ascii="Arial" w:eastAsia="Times New Roman" w:hAnsi="Arial"/>
    </w:rPr>
  </w:style>
  <w:style w:type="paragraph" w:customStyle="1" w:styleId="3GPPNormalText">
    <w:name w:val="3GPP Normal Text"/>
    <w:basedOn w:val="BodyText"/>
    <w:link w:val="3GPPNormalTextChar"/>
    <w:qFormat/>
    <w:rsid w:val="002013B3"/>
    <w:pPr>
      <w:spacing w:before="0"/>
      <w:ind w:left="720" w:hanging="720"/>
    </w:pPr>
    <w:rPr>
      <w:rFonts w:ascii="Times New Roman" w:eastAsia="MS Mincho" w:hAnsi="Times New Roman"/>
      <w:sz w:val="22"/>
      <w:szCs w:val="24"/>
      <w:lang w:val="x-none" w:eastAsia="x-none"/>
    </w:rPr>
  </w:style>
  <w:style w:type="character" w:customStyle="1" w:styleId="3GPPNormalTextChar">
    <w:name w:val="3GPP Normal Text Char"/>
    <w:link w:val="3GPPNormalText"/>
    <w:rsid w:val="002013B3"/>
    <w:rPr>
      <w:rFonts w:ascii="Times New Roman" w:eastAsia="MS Mincho" w:hAnsi="Times New Roman"/>
      <w:sz w:val="22"/>
      <w:szCs w:val="24"/>
      <w:lang w:val="x-none" w:eastAsia="x-none"/>
    </w:rPr>
  </w:style>
  <w:style w:type="table" w:styleId="TableGrid">
    <w:name w:val="Table Grid"/>
    <w:basedOn w:val="TableNormal"/>
    <w:uiPriority w:val="39"/>
    <w:rsid w:val="00636F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rsid w:val="002F4C25"/>
    <w:pPr>
      <w:widowControl w:val="0"/>
      <w:autoSpaceDE w:val="0"/>
      <w:autoSpaceDN w:val="0"/>
      <w:adjustRightInd w:val="0"/>
      <w:snapToGrid w:val="0"/>
      <w:spacing w:before="0" w:afterLines="50" w:after="0" w:line="264" w:lineRule="auto"/>
    </w:pPr>
    <w:rPr>
      <w:rFonts w:ascii="Times New Roman" w:eastAsia="Batang" w:hAnsi="Times New Roman"/>
      <w:kern w:val="2"/>
      <w:sz w:val="22"/>
      <w:szCs w:val="24"/>
      <w:lang w:val="en-GB" w:eastAsia="ko-KR"/>
    </w:rPr>
  </w:style>
  <w:style w:type="character" w:customStyle="1" w:styleId="LGTdocChar">
    <w:name w:val="LGTdoc_본문 Char"/>
    <w:link w:val="LGTdoc"/>
    <w:rsid w:val="002F4C25"/>
    <w:rPr>
      <w:rFonts w:ascii="Times New Roman" w:eastAsia="Batang" w:hAnsi="Times New Roman"/>
      <w:kern w:val="2"/>
      <w:sz w:val="22"/>
      <w:szCs w:val="24"/>
      <w:lang w:val="en-GB" w:eastAsia="ko-KR"/>
    </w:rPr>
  </w:style>
  <w:style w:type="paragraph" w:customStyle="1" w:styleId="B1">
    <w:name w:val="B1"/>
    <w:basedOn w:val="List"/>
    <w:link w:val="B1Char"/>
    <w:rsid w:val="008403AA"/>
    <w:pPr>
      <w:overflowPunct w:val="0"/>
      <w:autoSpaceDE w:val="0"/>
      <w:autoSpaceDN w:val="0"/>
      <w:adjustRightInd w:val="0"/>
      <w:spacing w:before="0" w:after="180"/>
      <w:ind w:left="568" w:hanging="284"/>
      <w:contextualSpacing w:val="0"/>
      <w:jc w:val="left"/>
      <w:textAlignment w:val="baseline"/>
    </w:pPr>
    <w:rPr>
      <w:rFonts w:ascii="Times New Roman" w:hAnsi="Times New Roman"/>
      <w:lang w:val="x-none" w:eastAsia="x-none"/>
    </w:rPr>
  </w:style>
  <w:style w:type="paragraph" w:styleId="List">
    <w:name w:val="List"/>
    <w:basedOn w:val="Normal"/>
    <w:uiPriority w:val="99"/>
    <w:semiHidden/>
    <w:unhideWhenUsed/>
    <w:rsid w:val="008403AA"/>
    <w:pPr>
      <w:ind w:left="360" w:hanging="360"/>
      <w:contextualSpacing/>
    </w:pPr>
  </w:style>
  <w:style w:type="character" w:customStyle="1" w:styleId="B1Char">
    <w:name w:val="B1 Char"/>
    <w:link w:val="B1"/>
    <w:rsid w:val="008403AA"/>
    <w:rPr>
      <w:rFonts w:ascii="Times New Roman" w:eastAsia="Times New Roman" w:hAnsi="Times New Roman"/>
      <w:lang w:val="x-none" w:eastAsia="x-none"/>
    </w:rPr>
  </w:style>
  <w:style w:type="paragraph" w:customStyle="1" w:styleId="Text">
    <w:name w:val="Text"/>
    <w:rsid w:val="00B66646"/>
    <w:pPr>
      <w:keepLines/>
      <w:tabs>
        <w:tab w:val="left" w:pos="2552"/>
        <w:tab w:val="left" w:pos="3856"/>
        <w:tab w:val="left" w:pos="5216"/>
        <w:tab w:val="left" w:pos="6464"/>
        <w:tab w:val="left" w:pos="7768"/>
        <w:tab w:val="left" w:pos="9072"/>
        <w:tab w:val="left" w:pos="9639"/>
      </w:tabs>
    </w:pPr>
    <w:rPr>
      <w:rFonts w:ascii="Arial" w:eastAsia="Times New Roman" w:hAnsi="Arial"/>
    </w:rPr>
  </w:style>
  <w:style w:type="character" w:customStyle="1" w:styleId="THChar">
    <w:name w:val="TH Char"/>
    <w:link w:val="TH"/>
    <w:qFormat/>
    <w:locked/>
    <w:rsid w:val="008A00F0"/>
    <w:rPr>
      <w:rFonts w:ascii="Arial" w:eastAsia="Times New Roman" w:hAnsi="Arial" w:cs="Arial"/>
      <w:b/>
      <w:lang w:val="en-GB" w:eastAsia="en-GB"/>
    </w:rPr>
  </w:style>
  <w:style w:type="paragraph" w:customStyle="1" w:styleId="TH">
    <w:name w:val="TH"/>
    <w:basedOn w:val="Normal"/>
    <w:link w:val="THChar"/>
    <w:qFormat/>
    <w:rsid w:val="008A00F0"/>
    <w:pPr>
      <w:keepNext/>
      <w:keepLines/>
      <w:overflowPunct w:val="0"/>
      <w:autoSpaceDE w:val="0"/>
      <w:autoSpaceDN w:val="0"/>
      <w:adjustRightInd w:val="0"/>
      <w:spacing w:after="180"/>
      <w:jc w:val="center"/>
    </w:pPr>
    <w:rPr>
      <w:rFonts w:cs="Arial"/>
      <w:b/>
      <w:lang w:val="en-GB" w:eastAsia="en-GB"/>
    </w:rPr>
  </w:style>
  <w:style w:type="character" w:customStyle="1" w:styleId="fontstyle01">
    <w:name w:val="fontstyle01"/>
    <w:basedOn w:val="DefaultParagraphFont"/>
    <w:rsid w:val="00DF148E"/>
    <w:rPr>
      <w:rFonts w:ascii="Times New Roman" w:hAnsi="Times New Roman" w:cs="Times New Roman"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306478">
      <w:bodyDiv w:val="1"/>
      <w:marLeft w:val="0"/>
      <w:marRight w:val="0"/>
      <w:marTop w:val="0"/>
      <w:marBottom w:val="0"/>
      <w:divBdr>
        <w:top w:val="none" w:sz="0" w:space="0" w:color="auto"/>
        <w:left w:val="none" w:sz="0" w:space="0" w:color="auto"/>
        <w:bottom w:val="none" w:sz="0" w:space="0" w:color="auto"/>
        <w:right w:val="none" w:sz="0" w:space="0" w:color="auto"/>
      </w:divBdr>
    </w:div>
    <w:div w:id="232937637">
      <w:bodyDiv w:val="1"/>
      <w:marLeft w:val="0"/>
      <w:marRight w:val="0"/>
      <w:marTop w:val="0"/>
      <w:marBottom w:val="0"/>
      <w:divBdr>
        <w:top w:val="none" w:sz="0" w:space="0" w:color="auto"/>
        <w:left w:val="none" w:sz="0" w:space="0" w:color="auto"/>
        <w:bottom w:val="none" w:sz="0" w:space="0" w:color="auto"/>
        <w:right w:val="none" w:sz="0" w:space="0" w:color="auto"/>
      </w:divBdr>
    </w:div>
    <w:div w:id="268122918">
      <w:bodyDiv w:val="1"/>
      <w:marLeft w:val="0"/>
      <w:marRight w:val="0"/>
      <w:marTop w:val="0"/>
      <w:marBottom w:val="0"/>
      <w:divBdr>
        <w:top w:val="none" w:sz="0" w:space="0" w:color="auto"/>
        <w:left w:val="none" w:sz="0" w:space="0" w:color="auto"/>
        <w:bottom w:val="none" w:sz="0" w:space="0" w:color="auto"/>
        <w:right w:val="none" w:sz="0" w:space="0" w:color="auto"/>
      </w:divBdr>
      <w:divsChild>
        <w:div w:id="363558640">
          <w:marLeft w:val="274"/>
          <w:marRight w:val="0"/>
          <w:marTop w:val="0"/>
          <w:marBottom w:val="0"/>
          <w:divBdr>
            <w:top w:val="none" w:sz="0" w:space="0" w:color="auto"/>
            <w:left w:val="none" w:sz="0" w:space="0" w:color="auto"/>
            <w:bottom w:val="none" w:sz="0" w:space="0" w:color="auto"/>
            <w:right w:val="none" w:sz="0" w:space="0" w:color="auto"/>
          </w:divBdr>
        </w:div>
        <w:div w:id="880704126">
          <w:marLeft w:val="274"/>
          <w:marRight w:val="0"/>
          <w:marTop w:val="0"/>
          <w:marBottom w:val="0"/>
          <w:divBdr>
            <w:top w:val="none" w:sz="0" w:space="0" w:color="auto"/>
            <w:left w:val="none" w:sz="0" w:space="0" w:color="auto"/>
            <w:bottom w:val="none" w:sz="0" w:space="0" w:color="auto"/>
            <w:right w:val="none" w:sz="0" w:space="0" w:color="auto"/>
          </w:divBdr>
        </w:div>
      </w:divsChild>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614868856">
      <w:bodyDiv w:val="1"/>
      <w:marLeft w:val="0"/>
      <w:marRight w:val="0"/>
      <w:marTop w:val="0"/>
      <w:marBottom w:val="0"/>
      <w:divBdr>
        <w:top w:val="none" w:sz="0" w:space="0" w:color="auto"/>
        <w:left w:val="none" w:sz="0" w:space="0" w:color="auto"/>
        <w:bottom w:val="none" w:sz="0" w:space="0" w:color="auto"/>
        <w:right w:val="none" w:sz="0" w:space="0" w:color="auto"/>
      </w:divBdr>
      <w:divsChild>
        <w:div w:id="1874416520">
          <w:marLeft w:val="547"/>
          <w:marRight w:val="0"/>
          <w:marTop w:val="0"/>
          <w:marBottom w:val="120"/>
          <w:divBdr>
            <w:top w:val="none" w:sz="0" w:space="0" w:color="auto"/>
            <w:left w:val="none" w:sz="0" w:space="0" w:color="auto"/>
            <w:bottom w:val="none" w:sz="0" w:space="0" w:color="auto"/>
            <w:right w:val="none" w:sz="0" w:space="0" w:color="auto"/>
          </w:divBdr>
        </w:div>
      </w:divsChild>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1211571001">
      <w:bodyDiv w:val="1"/>
      <w:marLeft w:val="0"/>
      <w:marRight w:val="0"/>
      <w:marTop w:val="0"/>
      <w:marBottom w:val="0"/>
      <w:divBdr>
        <w:top w:val="none" w:sz="0" w:space="0" w:color="auto"/>
        <w:left w:val="none" w:sz="0" w:space="0" w:color="auto"/>
        <w:bottom w:val="none" w:sz="0" w:space="0" w:color="auto"/>
        <w:right w:val="none" w:sz="0" w:space="0" w:color="auto"/>
      </w:divBdr>
    </w:div>
    <w:div w:id="1486123522">
      <w:bodyDiv w:val="1"/>
      <w:marLeft w:val="0"/>
      <w:marRight w:val="0"/>
      <w:marTop w:val="0"/>
      <w:marBottom w:val="0"/>
      <w:divBdr>
        <w:top w:val="none" w:sz="0" w:space="0" w:color="auto"/>
        <w:left w:val="none" w:sz="0" w:space="0" w:color="auto"/>
        <w:bottom w:val="none" w:sz="0" w:space="0" w:color="auto"/>
        <w:right w:val="none" w:sz="0" w:space="0" w:color="auto"/>
      </w:divBdr>
      <w:divsChild>
        <w:div w:id="453208636">
          <w:marLeft w:val="446"/>
          <w:marRight w:val="0"/>
          <w:marTop w:val="0"/>
          <w:marBottom w:val="120"/>
          <w:divBdr>
            <w:top w:val="none" w:sz="0" w:space="0" w:color="auto"/>
            <w:left w:val="none" w:sz="0" w:space="0" w:color="auto"/>
            <w:bottom w:val="none" w:sz="0" w:space="0" w:color="auto"/>
            <w:right w:val="none" w:sz="0" w:space="0" w:color="auto"/>
          </w:divBdr>
        </w:div>
        <w:div w:id="869728403">
          <w:marLeft w:val="446"/>
          <w:marRight w:val="0"/>
          <w:marTop w:val="0"/>
          <w:marBottom w:val="120"/>
          <w:divBdr>
            <w:top w:val="none" w:sz="0" w:space="0" w:color="auto"/>
            <w:left w:val="none" w:sz="0" w:space="0" w:color="auto"/>
            <w:bottom w:val="none" w:sz="0" w:space="0" w:color="auto"/>
            <w:right w:val="none" w:sz="0" w:space="0" w:color="auto"/>
          </w:divBdr>
        </w:div>
        <w:div w:id="986664895">
          <w:marLeft w:val="907"/>
          <w:marRight w:val="0"/>
          <w:marTop w:val="0"/>
          <w:marBottom w:val="160"/>
          <w:divBdr>
            <w:top w:val="none" w:sz="0" w:space="0" w:color="auto"/>
            <w:left w:val="none" w:sz="0" w:space="0" w:color="auto"/>
            <w:bottom w:val="none" w:sz="0" w:space="0" w:color="auto"/>
            <w:right w:val="none" w:sz="0" w:space="0" w:color="auto"/>
          </w:divBdr>
        </w:div>
        <w:div w:id="1362900858">
          <w:marLeft w:val="446"/>
          <w:marRight w:val="0"/>
          <w:marTop w:val="0"/>
          <w:marBottom w:val="120"/>
          <w:divBdr>
            <w:top w:val="none" w:sz="0" w:space="0" w:color="auto"/>
            <w:left w:val="none" w:sz="0" w:space="0" w:color="auto"/>
            <w:bottom w:val="none" w:sz="0" w:space="0" w:color="auto"/>
            <w:right w:val="none" w:sz="0" w:space="0" w:color="auto"/>
          </w:divBdr>
        </w:div>
        <w:div w:id="1626346343">
          <w:marLeft w:val="907"/>
          <w:marRight w:val="0"/>
          <w:marTop w:val="0"/>
          <w:marBottom w:val="160"/>
          <w:divBdr>
            <w:top w:val="none" w:sz="0" w:space="0" w:color="auto"/>
            <w:left w:val="none" w:sz="0" w:space="0" w:color="auto"/>
            <w:bottom w:val="none" w:sz="0" w:space="0" w:color="auto"/>
            <w:right w:val="none" w:sz="0" w:space="0" w:color="auto"/>
          </w:divBdr>
        </w:div>
        <w:div w:id="1679115630">
          <w:marLeft w:val="907"/>
          <w:marRight w:val="0"/>
          <w:marTop w:val="0"/>
          <w:marBottom w:val="160"/>
          <w:divBdr>
            <w:top w:val="none" w:sz="0" w:space="0" w:color="auto"/>
            <w:left w:val="none" w:sz="0" w:space="0" w:color="auto"/>
            <w:bottom w:val="none" w:sz="0" w:space="0" w:color="auto"/>
            <w:right w:val="none" w:sz="0" w:space="0" w:color="auto"/>
          </w:divBdr>
        </w:div>
        <w:div w:id="1863470928">
          <w:marLeft w:val="446"/>
          <w:marRight w:val="0"/>
          <w:marTop w:val="0"/>
          <w:marBottom w:val="120"/>
          <w:divBdr>
            <w:top w:val="none" w:sz="0" w:space="0" w:color="auto"/>
            <w:left w:val="none" w:sz="0" w:space="0" w:color="auto"/>
            <w:bottom w:val="none" w:sz="0" w:space="0" w:color="auto"/>
            <w:right w:val="none" w:sz="0" w:space="0" w:color="auto"/>
          </w:divBdr>
        </w:div>
      </w:divsChild>
    </w:div>
    <w:div w:id="1572500895">
      <w:bodyDiv w:val="1"/>
      <w:marLeft w:val="0"/>
      <w:marRight w:val="0"/>
      <w:marTop w:val="0"/>
      <w:marBottom w:val="0"/>
      <w:divBdr>
        <w:top w:val="none" w:sz="0" w:space="0" w:color="auto"/>
        <w:left w:val="none" w:sz="0" w:space="0" w:color="auto"/>
        <w:bottom w:val="none" w:sz="0" w:space="0" w:color="auto"/>
        <w:right w:val="none" w:sz="0" w:space="0" w:color="auto"/>
      </w:divBdr>
    </w:div>
    <w:div w:id="1577982619">
      <w:bodyDiv w:val="1"/>
      <w:marLeft w:val="0"/>
      <w:marRight w:val="0"/>
      <w:marTop w:val="0"/>
      <w:marBottom w:val="0"/>
      <w:divBdr>
        <w:top w:val="none" w:sz="0" w:space="0" w:color="auto"/>
        <w:left w:val="none" w:sz="0" w:space="0" w:color="auto"/>
        <w:bottom w:val="none" w:sz="0" w:space="0" w:color="auto"/>
        <w:right w:val="none" w:sz="0" w:space="0" w:color="auto"/>
      </w:divBdr>
      <w:divsChild>
        <w:div w:id="244001951">
          <w:marLeft w:val="547"/>
          <w:marRight w:val="0"/>
          <w:marTop w:val="0"/>
          <w:marBottom w:val="120"/>
          <w:divBdr>
            <w:top w:val="none" w:sz="0" w:space="0" w:color="auto"/>
            <w:left w:val="none" w:sz="0" w:space="0" w:color="auto"/>
            <w:bottom w:val="none" w:sz="0" w:space="0" w:color="auto"/>
            <w:right w:val="none" w:sz="0" w:space="0" w:color="auto"/>
          </w:divBdr>
        </w:div>
        <w:div w:id="582375246">
          <w:marLeft w:val="547"/>
          <w:marRight w:val="0"/>
          <w:marTop w:val="0"/>
          <w:marBottom w:val="120"/>
          <w:divBdr>
            <w:top w:val="none" w:sz="0" w:space="0" w:color="auto"/>
            <w:left w:val="none" w:sz="0" w:space="0" w:color="auto"/>
            <w:bottom w:val="none" w:sz="0" w:space="0" w:color="auto"/>
            <w:right w:val="none" w:sz="0" w:space="0" w:color="auto"/>
          </w:divBdr>
        </w:div>
        <w:div w:id="968046597">
          <w:marLeft w:val="907"/>
          <w:marRight w:val="0"/>
          <w:marTop w:val="0"/>
          <w:marBottom w:val="160"/>
          <w:divBdr>
            <w:top w:val="none" w:sz="0" w:space="0" w:color="auto"/>
            <w:left w:val="none" w:sz="0" w:space="0" w:color="auto"/>
            <w:bottom w:val="none" w:sz="0" w:space="0" w:color="auto"/>
            <w:right w:val="none" w:sz="0" w:space="0" w:color="auto"/>
          </w:divBdr>
        </w:div>
        <w:div w:id="1331329267">
          <w:marLeft w:val="907"/>
          <w:marRight w:val="0"/>
          <w:marTop w:val="0"/>
          <w:marBottom w:val="160"/>
          <w:divBdr>
            <w:top w:val="none" w:sz="0" w:space="0" w:color="auto"/>
            <w:left w:val="none" w:sz="0" w:space="0" w:color="auto"/>
            <w:bottom w:val="none" w:sz="0" w:space="0" w:color="auto"/>
            <w:right w:val="none" w:sz="0" w:space="0" w:color="auto"/>
          </w:divBdr>
        </w:div>
        <w:div w:id="1507133295">
          <w:marLeft w:val="907"/>
          <w:marRight w:val="0"/>
          <w:marTop w:val="0"/>
          <w:marBottom w:val="160"/>
          <w:divBdr>
            <w:top w:val="none" w:sz="0" w:space="0" w:color="auto"/>
            <w:left w:val="none" w:sz="0" w:space="0" w:color="auto"/>
            <w:bottom w:val="none" w:sz="0" w:space="0" w:color="auto"/>
            <w:right w:val="none" w:sz="0" w:space="0" w:color="auto"/>
          </w:divBdr>
        </w:div>
      </w:divsChild>
    </w:div>
    <w:div w:id="1645038425">
      <w:bodyDiv w:val="1"/>
      <w:marLeft w:val="0"/>
      <w:marRight w:val="0"/>
      <w:marTop w:val="0"/>
      <w:marBottom w:val="0"/>
      <w:divBdr>
        <w:top w:val="none" w:sz="0" w:space="0" w:color="auto"/>
        <w:left w:val="none" w:sz="0" w:space="0" w:color="auto"/>
        <w:bottom w:val="none" w:sz="0" w:space="0" w:color="auto"/>
        <w:right w:val="none" w:sz="0" w:space="0" w:color="auto"/>
      </w:divBdr>
    </w:div>
    <w:div w:id="1697847589">
      <w:bodyDiv w:val="1"/>
      <w:marLeft w:val="0"/>
      <w:marRight w:val="0"/>
      <w:marTop w:val="0"/>
      <w:marBottom w:val="0"/>
      <w:divBdr>
        <w:top w:val="none" w:sz="0" w:space="0" w:color="auto"/>
        <w:left w:val="none" w:sz="0" w:space="0" w:color="auto"/>
        <w:bottom w:val="none" w:sz="0" w:space="0" w:color="auto"/>
        <w:right w:val="none" w:sz="0" w:space="0" w:color="auto"/>
      </w:divBdr>
      <w:divsChild>
        <w:div w:id="900873115">
          <w:marLeft w:val="1440"/>
          <w:marRight w:val="0"/>
          <w:marTop w:val="0"/>
          <w:marBottom w:val="160"/>
          <w:divBdr>
            <w:top w:val="none" w:sz="0" w:space="0" w:color="auto"/>
            <w:left w:val="none" w:sz="0" w:space="0" w:color="auto"/>
            <w:bottom w:val="none" w:sz="0" w:space="0" w:color="auto"/>
            <w:right w:val="none" w:sz="0" w:space="0" w:color="auto"/>
          </w:divBdr>
        </w:div>
        <w:div w:id="1354917653">
          <w:marLeft w:val="720"/>
          <w:marRight w:val="0"/>
          <w:marTop w:val="0"/>
          <w:marBottom w:val="120"/>
          <w:divBdr>
            <w:top w:val="none" w:sz="0" w:space="0" w:color="auto"/>
            <w:left w:val="none" w:sz="0" w:space="0" w:color="auto"/>
            <w:bottom w:val="none" w:sz="0" w:space="0" w:color="auto"/>
            <w:right w:val="none" w:sz="0" w:space="0" w:color="auto"/>
          </w:divBdr>
        </w:div>
        <w:div w:id="1375810640">
          <w:marLeft w:val="720"/>
          <w:marRight w:val="0"/>
          <w:marTop w:val="0"/>
          <w:marBottom w:val="120"/>
          <w:divBdr>
            <w:top w:val="none" w:sz="0" w:space="0" w:color="auto"/>
            <w:left w:val="none" w:sz="0" w:space="0" w:color="auto"/>
            <w:bottom w:val="none" w:sz="0" w:space="0" w:color="auto"/>
            <w:right w:val="none" w:sz="0" w:space="0" w:color="auto"/>
          </w:divBdr>
        </w:div>
        <w:div w:id="1864399252">
          <w:marLeft w:val="1440"/>
          <w:marRight w:val="0"/>
          <w:marTop w:val="0"/>
          <w:marBottom w:val="160"/>
          <w:divBdr>
            <w:top w:val="none" w:sz="0" w:space="0" w:color="auto"/>
            <w:left w:val="none" w:sz="0" w:space="0" w:color="auto"/>
            <w:bottom w:val="none" w:sz="0" w:space="0" w:color="auto"/>
            <w:right w:val="none" w:sz="0" w:space="0" w:color="auto"/>
          </w:divBdr>
        </w:div>
        <w:div w:id="1936205129">
          <w:marLeft w:val="806"/>
          <w:marRight w:val="0"/>
          <w:marTop w:val="0"/>
          <w:marBottom w:val="160"/>
          <w:divBdr>
            <w:top w:val="none" w:sz="0" w:space="0" w:color="auto"/>
            <w:left w:val="none" w:sz="0" w:space="0" w:color="auto"/>
            <w:bottom w:val="none" w:sz="0" w:space="0" w:color="auto"/>
            <w:right w:val="none" w:sz="0" w:space="0" w:color="auto"/>
          </w:divBdr>
        </w:div>
        <w:div w:id="1977182014">
          <w:marLeft w:val="806"/>
          <w:marRight w:val="0"/>
          <w:marTop w:val="0"/>
          <w:marBottom w:val="160"/>
          <w:divBdr>
            <w:top w:val="none" w:sz="0" w:space="0" w:color="auto"/>
            <w:left w:val="none" w:sz="0" w:space="0" w:color="auto"/>
            <w:bottom w:val="none" w:sz="0" w:space="0" w:color="auto"/>
            <w:right w:val="none" w:sz="0" w:space="0" w:color="auto"/>
          </w:divBdr>
        </w:div>
      </w:divsChild>
    </w:div>
    <w:div w:id="1787850501">
      <w:bodyDiv w:val="1"/>
      <w:marLeft w:val="0"/>
      <w:marRight w:val="0"/>
      <w:marTop w:val="0"/>
      <w:marBottom w:val="0"/>
      <w:divBdr>
        <w:top w:val="none" w:sz="0" w:space="0" w:color="auto"/>
        <w:left w:val="none" w:sz="0" w:space="0" w:color="auto"/>
        <w:bottom w:val="none" w:sz="0" w:space="0" w:color="auto"/>
        <w:right w:val="none" w:sz="0" w:space="0" w:color="auto"/>
      </w:divBdr>
    </w:div>
    <w:div w:id="2100985301">
      <w:bodyDiv w:val="1"/>
      <w:marLeft w:val="0"/>
      <w:marRight w:val="0"/>
      <w:marTop w:val="0"/>
      <w:marBottom w:val="0"/>
      <w:divBdr>
        <w:top w:val="none" w:sz="0" w:space="0" w:color="auto"/>
        <w:left w:val="none" w:sz="0" w:space="0" w:color="auto"/>
        <w:bottom w:val="none" w:sz="0" w:space="0" w:color="auto"/>
        <w:right w:val="none" w:sz="0" w:space="0" w:color="auto"/>
      </w:divBdr>
    </w:div>
    <w:div w:id="213813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cid:image002.png@01D39440.045232F0"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0" Type="http://schemas.openxmlformats.org/officeDocument/2006/relationships/image" Target="cid:image005.png@01D3944D.5F473090"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9C15A0-50DC-4366-887B-DD2D5ECA3F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4</Pages>
  <Words>1330</Words>
  <Characters>7581</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AT&amp;T</Company>
  <LinksUpToDate>false</LinksUpToDate>
  <CharactersWithSpaces>8894</CharactersWithSpaces>
  <SharedDoc>false</SharedDoc>
  <HLinks>
    <vt:vector size="18" baseType="variant">
      <vt:variant>
        <vt:i4>7143427</vt:i4>
      </vt:variant>
      <vt:variant>
        <vt:i4>5871</vt:i4>
      </vt:variant>
      <vt:variant>
        <vt:i4>1026</vt:i4>
      </vt:variant>
      <vt:variant>
        <vt:i4>1</vt:i4>
      </vt:variant>
      <vt:variant>
        <vt:lpwstr>cid:image005.png@01D3944D.5F473090</vt:lpwstr>
      </vt:variant>
      <vt:variant>
        <vt:lpwstr/>
      </vt:variant>
      <vt:variant>
        <vt:i4>7143427</vt:i4>
      </vt:variant>
      <vt:variant>
        <vt:i4>10781</vt:i4>
      </vt:variant>
      <vt:variant>
        <vt:i4>1027</vt:i4>
      </vt:variant>
      <vt:variant>
        <vt:i4>1</vt:i4>
      </vt:variant>
      <vt:variant>
        <vt:lpwstr>cid:image005.png@01D3944D.5F473090</vt:lpwstr>
      </vt:variant>
      <vt:variant>
        <vt:lpwstr/>
      </vt:variant>
      <vt:variant>
        <vt:i4>4128780</vt:i4>
      </vt:variant>
      <vt:variant>
        <vt:i4>12558</vt:i4>
      </vt:variant>
      <vt:variant>
        <vt:i4>1029</vt:i4>
      </vt:variant>
      <vt:variant>
        <vt:i4>1</vt:i4>
      </vt:variant>
      <vt:variant>
        <vt:lpwstr>cid:image002.png@01D39440.045232F0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ZELMER, DONALD E</dc:creator>
  <cp:keywords/>
  <dc:description/>
  <cp:lastModifiedBy>MAJMUNDAR, MILAP</cp:lastModifiedBy>
  <cp:revision>6</cp:revision>
  <cp:lastPrinted>2018-09-28T20:14:00Z</cp:lastPrinted>
  <dcterms:created xsi:type="dcterms:W3CDTF">2019-11-08T23:50:00Z</dcterms:created>
  <dcterms:modified xsi:type="dcterms:W3CDTF">2019-11-09T02:46:00Z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